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20" w:rsidRDefault="00747D20" w:rsidP="006B3FA8">
      <w:pPr>
        <w:spacing w:after="0" w:line="480" w:lineRule="auto"/>
        <w:jc w:val="both"/>
        <w:rPr>
          <w:b/>
        </w:rPr>
      </w:pPr>
      <w:r>
        <w:rPr>
          <w:b/>
        </w:rPr>
        <w:t>MERCHANT ACCOUNT BOOKS, CREDIT</w:t>
      </w:r>
      <w:r w:rsidR="006A1038">
        <w:rPr>
          <w:b/>
        </w:rPr>
        <w:t xml:space="preserve"> SALES, and </w:t>
      </w:r>
      <w:r w:rsidR="008A0507">
        <w:rPr>
          <w:b/>
        </w:rPr>
        <w:t xml:space="preserve">FINANCIAL </w:t>
      </w:r>
      <w:r>
        <w:rPr>
          <w:b/>
        </w:rPr>
        <w:t>DEVELOPMENT</w:t>
      </w:r>
    </w:p>
    <w:p w:rsidR="009D7F10" w:rsidRPr="006E1741" w:rsidRDefault="009D7F10" w:rsidP="006E1741">
      <w:pPr>
        <w:spacing w:after="0" w:line="480" w:lineRule="auto"/>
        <w:jc w:val="center"/>
      </w:pPr>
      <w:r w:rsidRPr="006E1741">
        <w:t>Jeremy T. Schwartz, Youngstown State University</w:t>
      </w:r>
    </w:p>
    <w:p w:rsidR="009D7F10" w:rsidRDefault="009D7F10" w:rsidP="009D7F10">
      <w:pPr>
        <w:spacing w:after="0" w:line="480" w:lineRule="auto"/>
        <w:jc w:val="center"/>
      </w:pPr>
      <w:r w:rsidRPr="006E1741">
        <w:t>David T. Flynn, University of North Dakota</w:t>
      </w:r>
    </w:p>
    <w:p w:rsidR="000927FA" w:rsidRPr="006E1741" w:rsidRDefault="000927FA" w:rsidP="000927FA">
      <w:pPr>
        <w:spacing w:after="0" w:line="480" w:lineRule="auto"/>
        <w:jc w:val="center"/>
      </w:pPr>
      <w:r w:rsidRPr="006E1741">
        <w:t>G</w:t>
      </w:r>
      <w:r>
        <w:rPr>
          <w:rFonts w:cs="Times New Roman"/>
        </w:rPr>
        <w:t>ö</w:t>
      </w:r>
      <w:bookmarkStart w:id="0" w:name="_GoBack"/>
      <w:bookmarkEnd w:id="0"/>
      <w:r w:rsidRPr="006E1741">
        <w:t>kha</w:t>
      </w:r>
      <w:r>
        <w:t xml:space="preserve">n Karahan, University of Alaska </w:t>
      </w:r>
      <w:r w:rsidRPr="006E1741">
        <w:t>Anchorage</w:t>
      </w:r>
    </w:p>
    <w:p w:rsidR="000927FA" w:rsidRDefault="000927FA" w:rsidP="009D7F10">
      <w:pPr>
        <w:spacing w:after="0" w:line="480" w:lineRule="auto"/>
        <w:jc w:val="center"/>
      </w:pPr>
    </w:p>
    <w:p w:rsidR="009D7F10" w:rsidRPr="006E1741" w:rsidRDefault="009D7F10" w:rsidP="009D7F10">
      <w:pPr>
        <w:spacing w:after="0" w:line="480" w:lineRule="auto"/>
        <w:rPr>
          <w:b/>
        </w:rPr>
      </w:pPr>
      <w:r w:rsidRPr="006E1741">
        <w:rPr>
          <w:b/>
        </w:rPr>
        <w:t>Abstract</w:t>
      </w:r>
    </w:p>
    <w:p w:rsidR="009D7F10" w:rsidRDefault="009D7F10" w:rsidP="00271A8E">
      <w:pPr>
        <w:spacing w:after="0" w:line="480" w:lineRule="auto"/>
        <w:jc w:val="both"/>
      </w:pPr>
      <w:r>
        <w:t xml:space="preserve">Credit in colonial New England, including the credit practices used by merchants, invites study beyond that in the existing literature.  Through a sample of </w:t>
      </w:r>
      <w:r w:rsidR="0041713F">
        <w:t>56</w:t>
      </w:r>
      <w:r>
        <w:t xml:space="preserve"> merchant account books from eighteenth century Connecticut and Massachusetts, we find that use of book credit is ubiquitous and in amounts making credit highly important.  Merchants filled the lending role of financial intermediaries that the colonies lacked </w:t>
      </w:r>
      <w:r w:rsidR="00271A8E">
        <w:t>using</w:t>
      </w:r>
      <w:r>
        <w:t xml:space="preserve"> account book entries and by accepting repayment in many forms.  Repayment in goods was the most prevalent form in Connecticut, while various forms of tradable paper were most prevalent in Massachusetts.</w:t>
      </w:r>
    </w:p>
    <w:p w:rsidR="00F81DA7" w:rsidRDefault="00F81DA7" w:rsidP="009D7F10">
      <w:pPr>
        <w:spacing w:after="0" w:line="480" w:lineRule="auto"/>
        <w:rPr>
          <w:b/>
        </w:rPr>
      </w:pPr>
    </w:p>
    <w:p w:rsidR="009D7F10" w:rsidRPr="009D7F10" w:rsidRDefault="009D7F10" w:rsidP="009D7F10">
      <w:pPr>
        <w:spacing w:after="0" w:line="480" w:lineRule="auto"/>
      </w:pPr>
      <w:r w:rsidRPr="006E1741">
        <w:rPr>
          <w:b/>
        </w:rPr>
        <w:t>Keywords</w:t>
      </w:r>
      <w:r>
        <w:t xml:space="preserve">: Colonial New England, Financial Development, </w:t>
      </w:r>
      <w:r w:rsidR="006E1741">
        <w:t>Credit Sales</w:t>
      </w:r>
    </w:p>
    <w:p w:rsidR="009D7F10" w:rsidRPr="006E1741" w:rsidRDefault="009D7F10" w:rsidP="006E1741">
      <w:pPr>
        <w:spacing w:after="0" w:line="480" w:lineRule="auto"/>
      </w:pPr>
      <w:r w:rsidRPr="006E1741">
        <w:rPr>
          <w:b/>
        </w:rPr>
        <w:t>JEL Classifications</w:t>
      </w:r>
      <w:r>
        <w:t xml:space="preserve">: </w:t>
      </w:r>
      <w:r w:rsidR="006E1741">
        <w:t>E44, E50, F36, F54, N91</w:t>
      </w:r>
    </w:p>
    <w:p w:rsidR="009D7F10" w:rsidRDefault="009D7F10" w:rsidP="006B3FA8">
      <w:pPr>
        <w:spacing w:after="0" w:line="480" w:lineRule="auto"/>
        <w:jc w:val="both"/>
        <w:rPr>
          <w:b/>
        </w:rPr>
      </w:pPr>
    </w:p>
    <w:p w:rsidR="009D7F10" w:rsidRDefault="009D7F10" w:rsidP="006B3FA8">
      <w:pPr>
        <w:spacing w:after="0" w:line="480" w:lineRule="auto"/>
        <w:jc w:val="both"/>
        <w:rPr>
          <w:b/>
        </w:rPr>
      </w:pPr>
    </w:p>
    <w:p w:rsidR="009D7F10" w:rsidRDefault="009D7F10">
      <w:pPr>
        <w:rPr>
          <w:b/>
        </w:rPr>
      </w:pPr>
      <w:r>
        <w:rPr>
          <w:b/>
        </w:rPr>
        <w:br w:type="page"/>
      </w:r>
    </w:p>
    <w:p w:rsidR="00337C76" w:rsidRDefault="00337C76" w:rsidP="006B3FA8">
      <w:pPr>
        <w:spacing w:after="0" w:line="480" w:lineRule="auto"/>
        <w:jc w:val="both"/>
        <w:rPr>
          <w:b/>
        </w:rPr>
      </w:pPr>
      <w:r w:rsidRPr="00337C76">
        <w:rPr>
          <w:b/>
        </w:rPr>
        <w:lastRenderedPageBreak/>
        <w:t>Introduction</w:t>
      </w:r>
    </w:p>
    <w:p w:rsidR="00AB684D" w:rsidRDefault="000F06EB" w:rsidP="00B43F68">
      <w:pPr>
        <w:spacing w:after="0" w:line="480" w:lineRule="auto"/>
        <w:jc w:val="both"/>
        <w:rPr>
          <w:rFonts w:cs="Times New Roman"/>
          <w:szCs w:val="24"/>
        </w:rPr>
      </w:pPr>
      <w:r>
        <w:rPr>
          <w:rFonts w:cs="Times New Roman"/>
          <w:szCs w:val="24"/>
        </w:rPr>
        <w:t xml:space="preserve">This study explores different types </w:t>
      </w:r>
      <w:r w:rsidR="00B172C5">
        <w:rPr>
          <w:rFonts w:cs="Times New Roman"/>
          <w:szCs w:val="24"/>
        </w:rPr>
        <w:t xml:space="preserve">of monetary </w:t>
      </w:r>
      <w:r>
        <w:rPr>
          <w:rFonts w:cs="Times New Roman"/>
          <w:szCs w:val="24"/>
        </w:rPr>
        <w:t xml:space="preserve">arrangements </w:t>
      </w:r>
      <w:r w:rsidR="00FD6875">
        <w:rPr>
          <w:rFonts w:cs="Times New Roman"/>
          <w:szCs w:val="24"/>
        </w:rPr>
        <w:t xml:space="preserve">American colonists </w:t>
      </w:r>
      <w:r>
        <w:rPr>
          <w:rFonts w:cs="Times New Roman"/>
          <w:szCs w:val="24"/>
        </w:rPr>
        <w:t xml:space="preserve">employed to coordinate economic activity and maintain an accurate system </w:t>
      </w:r>
      <w:r w:rsidR="00BD7E6D">
        <w:rPr>
          <w:rFonts w:cs="Times New Roman"/>
          <w:szCs w:val="24"/>
        </w:rPr>
        <w:t xml:space="preserve">of accounting for </w:t>
      </w:r>
      <w:r>
        <w:rPr>
          <w:rFonts w:cs="Times New Roman"/>
          <w:szCs w:val="24"/>
        </w:rPr>
        <w:t xml:space="preserve">transactions. It attempts to identify </w:t>
      </w:r>
      <w:r w:rsidR="00BD7E6D">
        <w:rPr>
          <w:rFonts w:cs="Times New Roman"/>
          <w:szCs w:val="24"/>
        </w:rPr>
        <w:t>whether</w:t>
      </w:r>
      <w:r>
        <w:rPr>
          <w:rFonts w:cs="Times New Roman"/>
          <w:szCs w:val="24"/>
        </w:rPr>
        <w:t xml:space="preserve"> s</w:t>
      </w:r>
      <w:r w:rsidR="00AB684D">
        <w:rPr>
          <w:rFonts w:cs="Times New Roman"/>
          <w:szCs w:val="24"/>
        </w:rPr>
        <w:t xml:space="preserve">imilar practices emerge within a </w:t>
      </w:r>
      <w:r w:rsidR="00BD7E6D">
        <w:rPr>
          <w:rFonts w:cs="Times New Roman"/>
          <w:szCs w:val="24"/>
        </w:rPr>
        <w:t>region</w:t>
      </w:r>
      <w:r w:rsidR="00AB684D">
        <w:rPr>
          <w:rFonts w:cs="Times New Roman"/>
          <w:szCs w:val="24"/>
        </w:rPr>
        <w:t xml:space="preserve">, say, New England, </w:t>
      </w:r>
      <w:r>
        <w:rPr>
          <w:rFonts w:cs="Times New Roman"/>
          <w:szCs w:val="24"/>
        </w:rPr>
        <w:t>perhaps due to shared values</w:t>
      </w:r>
      <w:r w:rsidR="004F6502">
        <w:rPr>
          <w:rFonts w:cs="Times New Roman"/>
          <w:szCs w:val="24"/>
        </w:rPr>
        <w:t xml:space="preserve">, or, alternatively, </w:t>
      </w:r>
      <w:r w:rsidR="00BD7E6D">
        <w:rPr>
          <w:rFonts w:cs="Times New Roman"/>
          <w:szCs w:val="24"/>
        </w:rPr>
        <w:t>whether</w:t>
      </w:r>
      <w:r w:rsidR="004F6502">
        <w:rPr>
          <w:rFonts w:cs="Times New Roman"/>
          <w:szCs w:val="24"/>
        </w:rPr>
        <w:t xml:space="preserve"> dissimilar practices result based on d</w:t>
      </w:r>
      <w:r w:rsidR="00AB684D">
        <w:rPr>
          <w:rFonts w:cs="Times New Roman"/>
          <w:szCs w:val="24"/>
        </w:rPr>
        <w:t>ifferences in size, location, and merchant type</w:t>
      </w:r>
      <w:r>
        <w:rPr>
          <w:rFonts w:cs="Times New Roman"/>
          <w:szCs w:val="24"/>
        </w:rPr>
        <w:t xml:space="preserve">. </w:t>
      </w:r>
      <w:r w:rsidR="004F6502">
        <w:rPr>
          <w:rFonts w:cs="Times New Roman"/>
          <w:szCs w:val="24"/>
        </w:rPr>
        <w:t xml:space="preserve">By analyzing </w:t>
      </w:r>
      <w:r w:rsidR="00BD7E6D">
        <w:rPr>
          <w:rFonts w:cs="Times New Roman"/>
          <w:szCs w:val="24"/>
        </w:rPr>
        <w:t xml:space="preserve">56 </w:t>
      </w:r>
      <w:r w:rsidR="004F6502">
        <w:rPr>
          <w:rFonts w:cs="Times New Roman"/>
          <w:szCs w:val="24"/>
        </w:rPr>
        <w:t>historical merchant account books</w:t>
      </w:r>
      <w:r w:rsidR="00AB684D">
        <w:rPr>
          <w:rFonts w:cs="Times New Roman"/>
          <w:szCs w:val="24"/>
        </w:rPr>
        <w:t xml:space="preserve"> in the New England colonies o</w:t>
      </w:r>
      <w:r w:rsidR="004F6502">
        <w:rPr>
          <w:rFonts w:cs="Times New Roman"/>
          <w:szCs w:val="24"/>
        </w:rPr>
        <w:t xml:space="preserve">f Massachusetts and Connecticut, </w:t>
      </w:r>
      <w:r w:rsidR="00B172C5">
        <w:rPr>
          <w:rFonts w:cs="Times New Roman"/>
          <w:szCs w:val="24"/>
        </w:rPr>
        <w:t xml:space="preserve">the study </w:t>
      </w:r>
      <w:r w:rsidR="004F6502">
        <w:rPr>
          <w:rFonts w:cs="Times New Roman"/>
          <w:szCs w:val="24"/>
        </w:rPr>
        <w:t>address</w:t>
      </w:r>
      <w:r w:rsidR="00B172C5">
        <w:rPr>
          <w:rFonts w:cs="Times New Roman"/>
          <w:szCs w:val="24"/>
        </w:rPr>
        <w:t>es</w:t>
      </w:r>
      <w:r w:rsidR="004F6502">
        <w:rPr>
          <w:rFonts w:cs="Times New Roman"/>
          <w:szCs w:val="24"/>
        </w:rPr>
        <w:t xml:space="preserve"> </w:t>
      </w:r>
      <w:r w:rsidR="00AB684D">
        <w:rPr>
          <w:rFonts w:cs="Times New Roman"/>
          <w:szCs w:val="24"/>
        </w:rPr>
        <w:t>these questions.</w:t>
      </w:r>
    </w:p>
    <w:p w:rsidR="00A8548E" w:rsidRDefault="00654A93" w:rsidP="0069678A">
      <w:pPr>
        <w:spacing w:after="0" w:line="480" w:lineRule="auto"/>
        <w:ind w:firstLine="720"/>
        <w:jc w:val="both"/>
      </w:pPr>
      <w:r>
        <w:rPr>
          <w:rFonts w:cs="Times New Roman"/>
          <w:szCs w:val="24"/>
        </w:rPr>
        <w:t>Baxter (2004) explores the nature of money in the colonies and recognizes colonial ingenuity in recording events</w:t>
      </w:r>
      <w:r w:rsidR="00B43F68">
        <w:rPr>
          <w:rFonts w:cs="Times New Roman"/>
          <w:szCs w:val="24"/>
        </w:rPr>
        <w:t xml:space="preserve"> through merchant account books.  What purposes did these account books serve?  </w:t>
      </w:r>
      <w:r w:rsidR="00337C76">
        <w:t xml:space="preserve">While ostensibly taking the role of an </w:t>
      </w:r>
      <w:r w:rsidR="00795607">
        <w:t>Accounts Receivable subsidiary ledger</w:t>
      </w:r>
      <w:r w:rsidR="00337C76">
        <w:t xml:space="preserve">, the length of </w:t>
      </w:r>
      <w:r w:rsidR="00B43F68">
        <w:t>re</w:t>
      </w:r>
      <w:r w:rsidR="00337C76">
        <w:t xml:space="preserve">payment </w:t>
      </w:r>
      <w:r w:rsidR="00B43F68">
        <w:t xml:space="preserve">exceeds the modern current asset classification.  Moreover, the myriad methods of repayment imply that merchants and customers engaged in extensive and involved relationships.  In fact, merchants could use account book credit for trade or for satisfying another obligation on another merchant’s books.  Given the well-known problem of paucity of coinage in the colonies, </w:t>
      </w:r>
      <w:r w:rsidR="004C7998" w:rsidRPr="00747D20">
        <w:rPr>
          <w:color w:val="000000" w:themeColor="text1"/>
        </w:rPr>
        <w:t xml:space="preserve">it appears that </w:t>
      </w:r>
      <w:r w:rsidR="00B43F68" w:rsidRPr="00747D20">
        <w:rPr>
          <w:color w:val="000000" w:themeColor="text1"/>
        </w:rPr>
        <w:t xml:space="preserve">account </w:t>
      </w:r>
      <w:r w:rsidR="00B43F68">
        <w:t xml:space="preserve">book credit serves </w:t>
      </w:r>
      <w:r w:rsidR="00170EA3">
        <w:t xml:space="preserve">ubiquitously </w:t>
      </w:r>
      <w:r w:rsidR="00B43F68">
        <w:t>as a substitute currency.</w:t>
      </w:r>
    </w:p>
    <w:p w:rsidR="004C7998" w:rsidRDefault="00170EA3" w:rsidP="004C7998">
      <w:pPr>
        <w:autoSpaceDE w:val="0"/>
        <w:autoSpaceDN w:val="0"/>
        <w:adjustRightInd w:val="0"/>
        <w:spacing w:after="0" w:line="480" w:lineRule="auto"/>
        <w:ind w:firstLine="720"/>
        <w:jc w:val="both"/>
      </w:pPr>
      <w:r>
        <w:rPr>
          <w:rFonts w:cs="Times New Roman"/>
          <w:color w:val="000000"/>
          <w:szCs w:val="24"/>
        </w:rPr>
        <w:t xml:space="preserve">Transactions in the colonies are more </w:t>
      </w:r>
      <w:r w:rsidRPr="007678C3">
        <w:rPr>
          <w:rFonts w:cs="Times New Roman"/>
          <w:color w:val="000000"/>
          <w:szCs w:val="24"/>
        </w:rPr>
        <w:t>complex and sophisticat</w:t>
      </w:r>
      <w:r>
        <w:rPr>
          <w:rFonts w:cs="Times New Roman"/>
          <w:color w:val="000000"/>
          <w:szCs w:val="24"/>
        </w:rPr>
        <w:t>ed</w:t>
      </w:r>
      <w:r w:rsidRPr="007678C3">
        <w:rPr>
          <w:rFonts w:cs="Times New Roman"/>
          <w:color w:val="000000"/>
          <w:szCs w:val="24"/>
        </w:rPr>
        <w:t xml:space="preserve"> </w:t>
      </w:r>
      <w:r>
        <w:rPr>
          <w:rFonts w:cs="Times New Roman"/>
          <w:color w:val="000000"/>
          <w:szCs w:val="24"/>
        </w:rPr>
        <w:t>than what would be measured through cash transactions</w:t>
      </w:r>
      <w:r w:rsidRPr="007678C3">
        <w:rPr>
          <w:rFonts w:cs="Times New Roman"/>
          <w:color w:val="000000"/>
          <w:szCs w:val="24"/>
        </w:rPr>
        <w:t xml:space="preserve">. </w:t>
      </w:r>
      <w:r w:rsidR="00C457BE">
        <w:rPr>
          <w:rFonts w:cs="Times New Roman"/>
          <w:szCs w:val="24"/>
        </w:rPr>
        <w:t>Although</w:t>
      </w:r>
      <w:r w:rsidRPr="007678C3">
        <w:rPr>
          <w:rFonts w:cs="Times New Roman"/>
          <w:szCs w:val="24"/>
        </w:rPr>
        <w:t xml:space="preserve"> both private and public bills of credit </w:t>
      </w:r>
      <w:r w:rsidR="00C457BE">
        <w:rPr>
          <w:rFonts w:cs="Times New Roman"/>
          <w:szCs w:val="24"/>
        </w:rPr>
        <w:t xml:space="preserve">were </w:t>
      </w:r>
      <w:r w:rsidRPr="007678C3">
        <w:rPr>
          <w:rFonts w:cs="Times New Roman"/>
          <w:szCs w:val="24"/>
        </w:rPr>
        <w:t xml:space="preserve">circulating </w:t>
      </w:r>
      <w:r w:rsidR="00C457BE">
        <w:rPr>
          <w:rFonts w:cs="Times New Roman"/>
          <w:szCs w:val="24"/>
        </w:rPr>
        <w:t>in colonial times</w:t>
      </w:r>
      <w:r w:rsidRPr="007678C3">
        <w:rPr>
          <w:rFonts w:cs="Times New Roman"/>
          <w:szCs w:val="24"/>
        </w:rPr>
        <w:t xml:space="preserve">, </w:t>
      </w:r>
      <w:r>
        <w:rPr>
          <w:rFonts w:cs="Times New Roman"/>
          <w:szCs w:val="24"/>
        </w:rPr>
        <w:t xml:space="preserve">we are looking </w:t>
      </w:r>
      <w:r w:rsidRPr="007678C3">
        <w:rPr>
          <w:rFonts w:cs="Times New Roman"/>
          <w:szCs w:val="24"/>
        </w:rPr>
        <w:t>specifically at credit resulting from merchant-</w:t>
      </w:r>
      <w:r>
        <w:rPr>
          <w:rFonts w:cs="Times New Roman"/>
          <w:szCs w:val="24"/>
        </w:rPr>
        <w:t>customer</w:t>
      </w:r>
      <w:r w:rsidRPr="007678C3">
        <w:rPr>
          <w:rFonts w:cs="Times New Roman"/>
          <w:szCs w:val="24"/>
        </w:rPr>
        <w:t xml:space="preserve"> exchanges.</w:t>
      </w:r>
      <w:r>
        <w:rPr>
          <w:rFonts w:cs="Times New Roman"/>
          <w:szCs w:val="24"/>
        </w:rPr>
        <w:t xml:space="preserve">  </w:t>
      </w:r>
      <w:r w:rsidRPr="007678C3">
        <w:rPr>
          <w:rFonts w:cs="Times New Roman"/>
          <w:szCs w:val="24"/>
        </w:rPr>
        <w:t>Credit results when the c</w:t>
      </w:r>
      <w:r>
        <w:rPr>
          <w:rFonts w:cs="Times New Roman"/>
          <w:szCs w:val="24"/>
        </w:rPr>
        <w:t>u</w:t>
      </w:r>
      <w:r w:rsidRPr="007678C3">
        <w:rPr>
          <w:rFonts w:cs="Times New Roman"/>
          <w:szCs w:val="24"/>
        </w:rPr>
        <w:t>s</w:t>
      </w:r>
      <w:r>
        <w:rPr>
          <w:rFonts w:cs="Times New Roman"/>
          <w:szCs w:val="24"/>
        </w:rPr>
        <w:t>to</w:t>
      </w:r>
      <w:r w:rsidRPr="007678C3">
        <w:rPr>
          <w:rFonts w:cs="Times New Roman"/>
          <w:szCs w:val="24"/>
        </w:rPr>
        <w:t xml:space="preserve">mer acquires goods without providing the merchant </w:t>
      </w:r>
      <w:r>
        <w:rPr>
          <w:rFonts w:cs="Times New Roman"/>
          <w:szCs w:val="24"/>
        </w:rPr>
        <w:t>full consideration</w:t>
      </w:r>
      <w:r w:rsidRPr="007678C3">
        <w:rPr>
          <w:rFonts w:cs="Times New Roman"/>
          <w:szCs w:val="24"/>
        </w:rPr>
        <w:t xml:space="preserve"> in simultaneous exchange. Why do merchants extend </w:t>
      </w:r>
      <w:r>
        <w:rPr>
          <w:rFonts w:cs="Times New Roman"/>
          <w:szCs w:val="24"/>
        </w:rPr>
        <w:t>such credit</w:t>
      </w:r>
      <w:r w:rsidRPr="007678C3">
        <w:rPr>
          <w:rFonts w:cs="Times New Roman"/>
          <w:szCs w:val="24"/>
        </w:rPr>
        <w:t xml:space="preserve">? </w:t>
      </w:r>
    </w:p>
    <w:p w:rsidR="00170EA3" w:rsidRPr="007678C3" w:rsidRDefault="00170EA3" w:rsidP="00170EA3">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Economists assume that firms </w:t>
      </w:r>
      <w:r>
        <w:rPr>
          <w:rFonts w:cs="Times New Roman"/>
          <w:szCs w:val="24"/>
        </w:rPr>
        <w:t xml:space="preserve">engage in </w:t>
      </w:r>
      <w:r w:rsidRPr="007678C3">
        <w:rPr>
          <w:rFonts w:cs="Times New Roman"/>
          <w:szCs w:val="24"/>
        </w:rPr>
        <w:t>profit maximiz</w:t>
      </w:r>
      <w:r>
        <w:rPr>
          <w:rFonts w:cs="Times New Roman"/>
          <w:szCs w:val="24"/>
        </w:rPr>
        <w:t>ing activities</w:t>
      </w:r>
      <w:r w:rsidRPr="007678C3">
        <w:rPr>
          <w:rFonts w:cs="Times New Roman"/>
          <w:szCs w:val="24"/>
        </w:rPr>
        <w:t xml:space="preserve">. Anyone examining these account books will agree that modern definitions of profit are not easy to assess with the available information. Still, it is difficult to believe merchants undertook such action unless they </w:t>
      </w:r>
      <w:r w:rsidRPr="007678C3">
        <w:rPr>
          <w:rFonts w:cs="Times New Roman"/>
          <w:szCs w:val="24"/>
        </w:rPr>
        <w:lastRenderedPageBreak/>
        <w:t>stood to benefit. By extending purchasing power to the customer</w:t>
      </w:r>
      <w:r w:rsidR="007267DA">
        <w:rPr>
          <w:rFonts w:cs="Times New Roman"/>
          <w:szCs w:val="24"/>
        </w:rPr>
        <w:t>,</w:t>
      </w:r>
      <w:r w:rsidRPr="007678C3">
        <w:rPr>
          <w:rFonts w:cs="Times New Roman"/>
          <w:szCs w:val="24"/>
        </w:rPr>
        <w:t xml:space="preserve"> the merchant moves more of his goods and inc</w:t>
      </w:r>
      <w:r>
        <w:rPr>
          <w:rFonts w:cs="Times New Roman"/>
          <w:szCs w:val="24"/>
        </w:rPr>
        <w:t xml:space="preserve">reases the accounts receivable.  Unlike modern accounts receivable, colonial accounts receivable could be satisfied through various methods of repayment.  </w:t>
      </w:r>
      <w:r w:rsidRPr="007678C3">
        <w:rPr>
          <w:rFonts w:cs="Times New Roman"/>
          <w:szCs w:val="24"/>
        </w:rPr>
        <w:t>Bridenbaugh (1990</w:t>
      </w:r>
      <w:r>
        <w:rPr>
          <w:rFonts w:cs="Times New Roman"/>
          <w:szCs w:val="24"/>
        </w:rPr>
        <w:t>, 154</w:t>
      </w:r>
      <w:r w:rsidRPr="007678C3">
        <w:rPr>
          <w:rFonts w:cs="Times New Roman"/>
          <w:szCs w:val="24"/>
        </w:rPr>
        <w:t xml:space="preserve">) </w:t>
      </w:r>
      <w:r>
        <w:rPr>
          <w:rFonts w:cs="Times New Roman"/>
          <w:szCs w:val="24"/>
        </w:rPr>
        <w:t>asserts</w:t>
      </w:r>
      <w:r w:rsidRPr="007678C3">
        <w:rPr>
          <w:rFonts w:cs="Times New Roman"/>
          <w:szCs w:val="24"/>
        </w:rPr>
        <w:t>, “From an economic point of view the use of credit was indispensable because of the shortage of circulating medium and it undeniably encouraged productive activity.”</w:t>
      </w:r>
      <w:r>
        <w:rPr>
          <w:rFonts w:cs="Times New Roman"/>
          <w:position w:val="10"/>
          <w:szCs w:val="24"/>
          <w:vertAlign w:val="superscript"/>
        </w:rPr>
        <w:t xml:space="preserve"> </w:t>
      </w:r>
      <w:r>
        <w:rPr>
          <w:rFonts w:cs="Times New Roman"/>
          <w:szCs w:val="24"/>
        </w:rPr>
        <w:t xml:space="preserve"> H</w:t>
      </w:r>
      <w:r w:rsidRPr="007678C3">
        <w:rPr>
          <w:rFonts w:cs="Times New Roman"/>
          <w:szCs w:val="24"/>
        </w:rPr>
        <w:t xml:space="preserve">awtrey </w:t>
      </w:r>
      <w:r>
        <w:rPr>
          <w:rFonts w:cs="Times New Roman"/>
          <w:szCs w:val="24"/>
        </w:rPr>
        <w:t xml:space="preserve">(1950) </w:t>
      </w:r>
      <w:r w:rsidRPr="007678C3">
        <w:rPr>
          <w:rFonts w:cs="Times New Roman"/>
          <w:szCs w:val="24"/>
        </w:rPr>
        <w:t>makes similar comments in the context of what he terms the pure credit economy.</w:t>
      </w:r>
      <w:r>
        <w:rPr>
          <w:rFonts w:cs="Times New Roman"/>
          <w:szCs w:val="24"/>
        </w:rPr>
        <w:t xml:space="preserve"> </w:t>
      </w:r>
      <w:r w:rsidRPr="007678C3">
        <w:rPr>
          <w:rFonts w:cs="Times New Roman"/>
          <w:szCs w:val="24"/>
        </w:rPr>
        <w:t xml:space="preserve">These observations suggest that credit is efficient. Personal credit, these one-to-one loan extensions, was the best financing system available. </w:t>
      </w:r>
    </w:p>
    <w:p w:rsidR="00170EA3" w:rsidRPr="004C7998" w:rsidRDefault="007267DA" w:rsidP="006E1741">
      <w:pPr>
        <w:pStyle w:val="CommentText"/>
        <w:spacing w:after="0" w:line="480" w:lineRule="auto"/>
        <w:ind w:firstLine="720"/>
        <w:jc w:val="both"/>
        <w:rPr>
          <w:rFonts w:cs="Times New Roman"/>
          <w:color w:val="000000"/>
          <w:sz w:val="24"/>
          <w:szCs w:val="24"/>
        </w:rPr>
      </w:pPr>
      <w:r w:rsidRPr="00747D20">
        <w:rPr>
          <w:rFonts w:cs="Times New Roman"/>
          <w:sz w:val="24"/>
          <w:szCs w:val="24"/>
        </w:rPr>
        <w:t xml:space="preserve">While the use </w:t>
      </w:r>
      <w:r w:rsidR="006B3FA8" w:rsidRPr="00747D20">
        <w:rPr>
          <w:rFonts w:cs="Times New Roman"/>
          <w:sz w:val="24"/>
          <w:szCs w:val="24"/>
        </w:rPr>
        <w:t>of cash as a means of payment for goods</w:t>
      </w:r>
      <w:r w:rsidR="00170EA3" w:rsidRPr="00747D20">
        <w:rPr>
          <w:rFonts w:cs="Times New Roman"/>
          <w:sz w:val="24"/>
          <w:szCs w:val="24"/>
        </w:rPr>
        <w:t xml:space="preserve"> and services has </w:t>
      </w:r>
      <w:r w:rsidRPr="00747D20">
        <w:rPr>
          <w:rFonts w:cs="Times New Roman"/>
          <w:sz w:val="24"/>
          <w:szCs w:val="24"/>
        </w:rPr>
        <w:t xml:space="preserve">come to be viewed as superior to other methods, merchant </w:t>
      </w:r>
      <w:r w:rsidR="006B3FA8" w:rsidRPr="00747D20">
        <w:rPr>
          <w:rFonts w:cs="Times New Roman"/>
          <w:sz w:val="24"/>
          <w:szCs w:val="24"/>
        </w:rPr>
        <w:t>account books</w:t>
      </w:r>
      <w:r w:rsidRPr="00747D20">
        <w:rPr>
          <w:rFonts w:cs="Times New Roman"/>
          <w:sz w:val="24"/>
          <w:szCs w:val="24"/>
        </w:rPr>
        <w:t xml:space="preserve"> </w:t>
      </w:r>
      <w:r w:rsidR="006B3FA8" w:rsidRPr="00747D20">
        <w:rPr>
          <w:rFonts w:cs="Times New Roman"/>
          <w:sz w:val="24"/>
          <w:szCs w:val="24"/>
        </w:rPr>
        <w:t xml:space="preserve">show that credit </w:t>
      </w:r>
      <w:r w:rsidR="002F3669" w:rsidRPr="00747D20">
        <w:rPr>
          <w:rFonts w:cs="Times New Roman"/>
          <w:sz w:val="24"/>
          <w:szCs w:val="24"/>
        </w:rPr>
        <w:t>facilitated</w:t>
      </w:r>
      <w:r w:rsidR="006B3FA8" w:rsidRPr="00747D20">
        <w:rPr>
          <w:rFonts w:cs="Times New Roman"/>
          <w:sz w:val="24"/>
          <w:szCs w:val="24"/>
        </w:rPr>
        <w:t xml:space="preserve"> a significant number of transactions</w:t>
      </w:r>
      <w:r w:rsidRPr="00747D20">
        <w:rPr>
          <w:rFonts w:cs="Times New Roman"/>
          <w:sz w:val="24"/>
          <w:szCs w:val="24"/>
        </w:rPr>
        <w:t xml:space="preserve"> despite the presence of early paper money issues</w:t>
      </w:r>
      <w:r w:rsidR="006B3FA8" w:rsidRPr="00747D20">
        <w:rPr>
          <w:rFonts w:cs="Times New Roman"/>
          <w:sz w:val="24"/>
          <w:szCs w:val="24"/>
        </w:rPr>
        <w:t>.</w:t>
      </w:r>
      <w:r w:rsidR="006B3FA8" w:rsidRPr="004C7998">
        <w:rPr>
          <w:rFonts w:cs="Times New Roman"/>
          <w:color w:val="FF0000"/>
          <w:sz w:val="24"/>
          <w:szCs w:val="24"/>
        </w:rPr>
        <w:t xml:space="preserve"> </w:t>
      </w:r>
      <w:r w:rsidR="006B3FA8" w:rsidRPr="004C7998">
        <w:rPr>
          <w:rFonts w:cs="Times New Roman"/>
          <w:color w:val="000000"/>
          <w:sz w:val="24"/>
          <w:szCs w:val="24"/>
        </w:rPr>
        <w:t xml:space="preserve">Merchants filled the lending role of the financial intermediaries the colonies lacked by issuing </w:t>
      </w:r>
      <w:r w:rsidR="001D665E" w:rsidRPr="004C7998">
        <w:rPr>
          <w:rFonts w:cs="Times New Roman"/>
          <w:color w:val="000000"/>
          <w:sz w:val="24"/>
          <w:szCs w:val="24"/>
        </w:rPr>
        <w:t>book credit</w:t>
      </w:r>
      <w:r w:rsidR="006B3FA8" w:rsidRPr="004C7998">
        <w:rPr>
          <w:rFonts w:cs="Times New Roman"/>
          <w:color w:val="000000"/>
          <w:sz w:val="24"/>
          <w:szCs w:val="24"/>
        </w:rPr>
        <w:t xml:space="preserve"> in the form of account book entries. Indeed, the frequency and amount of </w:t>
      </w:r>
      <w:r w:rsidR="001D665E" w:rsidRPr="004C7998">
        <w:rPr>
          <w:rFonts w:cs="Times New Roman"/>
          <w:color w:val="000000"/>
          <w:sz w:val="24"/>
          <w:szCs w:val="24"/>
        </w:rPr>
        <w:t>book credit</w:t>
      </w:r>
      <w:r w:rsidR="006B3FA8" w:rsidRPr="004C7998">
        <w:rPr>
          <w:rFonts w:cs="Times New Roman"/>
          <w:color w:val="000000"/>
          <w:sz w:val="24"/>
          <w:szCs w:val="24"/>
        </w:rPr>
        <w:t xml:space="preserve"> in the merchant’s account book make them look more like dealers in </w:t>
      </w:r>
      <w:r w:rsidR="001D665E" w:rsidRPr="004C7998">
        <w:rPr>
          <w:rFonts w:cs="Times New Roman"/>
          <w:color w:val="000000"/>
          <w:sz w:val="24"/>
          <w:szCs w:val="24"/>
        </w:rPr>
        <w:t>finance</w:t>
      </w:r>
      <w:r w:rsidR="006B3FA8" w:rsidRPr="004C7998">
        <w:rPr>
          <w:rFonts w:cs="Times New Roman"/>
          <w:color w:val="000000"/>
          <w:sz w:val="24"/>
          <w:szCs w:val="24"/>
        </w:rPr>
        <w:t>, a definition used to describe a banker (see Hawtrey, 1950)</w:t>
      </w:r>
      <w:r w:rsidR="00170EA3" w:rsidRPr="004C7998">
        <w:rPr>
          <w:rFonts w:cs="Times New Roman"/>
          <w:color w:val="000000"/>
          <w:sz w:val="24"/>
          <w:szCs w:val="24"/>
        </w:rPr>
        <w:t>.</w:t>
      </w:r>
      <w:r w:rsidR="004A160A" w:rsidRPr="004C7998">
        <w:rPr>
          <w:rFonts w:cs="Times New Roman"/>
          <w:color w:val="000000"/>
          <w:sz w:val="24"/>
          <w:szCs w:val="24"/>
        </w:rPr>
        <w:t xml:space="preserve">  Hollister and Schultz (2007) provide more recent support for the expanded role served by colonial merchants.</w:t>
      </w:r>
      <w:r w:rsidR="00170EA3" w:rsidRPr="004C7998">
        <w:rPr>
          <w:rFonts w:cs="Times New Roman"/>
          <w:color w:val="000000"/>
          <w:sz w:val="24"/>
          <w:szCs w:val="24"/>
        </w:rPr>
        <w:t xml:space="preserve">  </w:t>
      </w:r>
    </w:p>
    <w:p w:rsidR="00D92036" w:rsidRDefault="00260413" w:rsidP="00B43F68">
      <w:pPr>
        <w:autoSpaceDE w:val="0"/>
        <w:autoSpaceDN w:val="0"/>
        <w:adjustRightInd w:val="0"/>
        <w:spacing w:after="0" w:line="480" w:lineRule="auto"/>
        <w:ind w:firstLine="720"/>
        <w:jc w:val="both"/>
      </w:pPr>
      <w:r>
        <w:t xml:space="preserve">An important part of defining the actual </w:t>
      </w:r>
      <w:r w:rsidR="0069678A">
        <w:t>re</w:t>
      </w:r>
      <w:r>
        <w:t xml:space="preserve">payment system in the colonies is matching the discussions from the larger literature regarding cash, barter or goods, </w:t>
      </w:r>
      <w:r w:rsidR="007D6AAA">
        <w:t xml:space="preserve">and </w:t>
      </w:r>
      <w:r>
        <w:t xml:space="preserve">credit to the observed components.  </w:t>
      </w:r>
      <w:r w:rsidR="007D6AAA">
        <w:t>Our work here</w:t>
      </w:r>
      <w:r>
        <w:t xml:space="preserve"> helps </w:t>
      </w:r>
      <w:r w:rsidR="007D6AAA">
        <w:t xml:space="preserve">to </w:t>
      </w:r>
      <w:r>
        <w:t>assess the quality of the data contained in the account book</w:t>
      </w:r>
      <w:r w:rsidR="0069678A">
        <w:t>s</w:t>
      </w:r>
      <w:r>
        <w:t xml:space="preserve">, the literature on payments, and the actual form of the </w:t>
      </w:r>
      <w:r w:rsidR="0069678A">
        <w:t>re</w:t>
      </w:r>
      <w:r>
        <w:t xml:space="preserve">payment system.  The money supply at this time was not solely paper notes, so people accepted and used other items for payment and exchange as well.  </w:t>
      </w:r>
      <w:r w:rsidR="00262773">
        <w:t>While c</w:t>
      </w:r>
      <w:r>
        <w:t>olonists complained that an insufficient amount of media of exchange reduced the overall level of exchange in the economy</w:t>
      </w:r>
      <w:r w:rsidR="00262773">
        <w:t>, m</w:t>
      </w:r>
      <w:r w:rsidR="002F3669">
        <w:t>erchant</w:t>
      </w:r>
      <w:r>
        <w:t xml:space="preserve"> account books provide evidence of </w:t>
      </w:r>
      <w:r w:rsidR="00262773">
        <w:t xml:space="preserve">the </w:t>
      </w:r>
      <w:r w:rsidR="002F3669">
        <w:t xml:space="preserve">use of </w:t>
      </w:r>
      <w:r w:rsidR="002F3669">
        <w:lastRenderedPageBreak/>
        <w:t xml:space="preserve">paper and </w:t>
      </w:r>
      <w:r w:rsidR="00262773">
        <w:t xml:space="preserve">other </w:t>
      </w:r>
      <w:r>
        <w:t>various items used to repay debts</w:t>
      </w:r>
      <w:r w:rsidR="00262773">
        <w:t>,</w:t>
      </w:r>
      <w:r>
        <w:t xml:space="preserve"> as well as evidence about the actual sales.  </w:t>
      </w:r>
      <w:r w:rsidR="007D6AAA">
        <w:t xml:space="preserve">Using a larger sample drawn broadly from colonial merchants in Massachusetts and Connecticut, we </w:t>
      </w:r>
      <w:r w:rsidR="00D92036">
        <w:t xml:space="preserve">contribute </w:t>
      </w:r>
      <w:r w:rsidR="007D6AAA">
        <w:t xml:space="preserve">to the existing literature by providing </w:t>
      </w:r>
      <w:r w:rsidR="00D92036">
        <w:t xml:space="preserve">more in-depth analysis about </w:t>
      </w:r>
      <w:r w:rsidR="007D6AAA">
        <w:t xml:space="preserve">credit sales and repayment methods across merchant classes </w:t>
      </w:r>
      <w:r w:rsidR="009027D5">
        <w:t xml:space="preserve">and </w:t>
      </w:r>
      <w:r w:rsidR="005E1345" w:rsidRPr="00425445">
        <w:t>over simil</w:t>
      </w:r>
      <w:r w:rsidR="00D92036">
        <w:t xml:space="preserve">ar spans of time and region. </w:t>
      </w:r>
    </w:p>
    <w:p w:rsidR="00081A03" w:rsidRDefault="00081A03" w:rsidP="00B43F68">
      <w:pPr>
        <w:autoSpaceDE w:val="0"/>
        <w:autoSpaceDN w:val="0"/>
        <w:adjustRightInd w:val="0"/>
        <w:spacing w:after="0" w:line="480" w:lineRule="auto"/>
        <w:ind w:firstLine="720"/>
        <w:jc w:val="both"/>
      </w:pPr>
      <w:r>
        <w:t xml:space="preserve">In the next section, we present </w:t>
      </w:r>
      <w:r w:rsidR="00262773">
        <w:t xml:space="preserve">a sampling of </w:t>
      </w:r>
      <w:r>
        <w:t xml:space="preserve">the relevant literature, followed by a discussion of business practices.  Subsequently, we turn our attention to the merchant account books themselves and examine their entries.  </w:t>
      </w:r>
      <w:r w:rsidR="00C457BE">
        <w:t>To</w:t>
      </w:r>
      <w:r>
        <w:t xml:space="preserve"> harmonize the values across periods, we standardize amounts into Lawful Money.  Finally, we compare the activities across the two colonies.</w:t>
      </w:r>
    </w:p>
    <w:p w:rsidR="00081A03" w:rsidRDefault="00081A03" w:rsidP="00B43F68">
      <w:pPr>
        <w:autoSpaceDE w:val="0"/>
        <w:autoSpaceDN w:val="0"/>
        <w:adjustRightInd w:val="0"/>
        <w:spacing w:after="0" w:line="480" w:lineRule="auto"/>
        <w:ind w:firstLine="720"/>
        <w:jc w:val="both"/>
      </w:pPr>
    </w:p>
    <w:p w:rsidR="00A870ED" w:rsidRPr="007678C3" w:rsidRDefault="00A870ED" w:rsidP="00A870ED">
      <w:pPr>
        <w:keepNext/>
        <w:widowControl w:val="0"/>
        <w:autoSpaceDE w:val="0"/>
        <w:autoSpaceDN w:val="0"/>
        <w:adjustRightInd w:val="0"/>
        <w:spacing w:after="0" w:line="480" w:lineRule="auto"/>
        <w:jc w:val="both"/>
        <w:rPr>
          <w:rFonts w:cs="Times New Roman"/>
          <w:szCs w:val="24"/>
        </w:rPr>
      </w:pPr>
      <w:r w:rsidRPr="007678C3">
        <w:rPr>
          <w:rFonts w:cs="Times New Roman"/>
          <w:b/>
          <w:bCs/>
          <w:szCs w:val="24"/>
        </w:rPr>
        <w:t xml:space="preserve">Literature Review </w:t>
      </w:r>
    </w:p>
    <w:p w:rsidR="00A870ED" w:rsidRPr="00316185" w:rsidRDefault="001743D6" w:rsidP="00A870ED">
      <w:pPr>
        <w:autoSpaceDE w:val="0"/>
        <w:autoSpaceDN w:val="0"/>
        <w:adjustRightInd w:val="0"/>
        <w:spacing w:after="0" w:line="480" w:lineRule="auto"/>
        <w:jc w:val="both"/>
        <w:rPr>
          <w:szCs w:val="24"/>
        </w:rPr>
      </w:pPr>
      <w:r>
        <w:rPr>
          <w:rFonts w:cs="Times New Roman"/>
          <w:szCs w:val="24"/>
        </w:rPr>
        <w:t>The</w:t>
      </w:r>
      <w:r w:rsidR="00A870ED">
        <w:rPr>
          <w:rFonts w:cs="Times New Roman"/>
          <w:szCs w:val="24"/>
        </w:rPr>
        <w:t xml:space="preserve"> colonial history </w:t>
      </w:r>
      <w:r w:rsidR="00A870ED" w:rsidRPr="007678C3">
        <w:rPr>
          <w:rFonts w:cs="Times New Roman"/>
          <w:szCs w:val="24"/>
        </w:rPr>
        <w:t xml:space="preserve">literature provides detailed descriptions of </w:t>
      </w:r>
      <w:r w:rsidR="00A870ED">
        <w:rPr>
          <w:rFonts w:cs="Times New Roman"/>
          <w:szCs w:val="24"/>
        </w:rPr>
        <w:t xml:space="preserve">economic life </w:t>
      </w:r>
      <w:r w:rsidR="00A870ED" w:rsidRPr="007678C3">
        <w:rPr>
          <w:rFonts w:cs="Times New Roman"/>
          <w:szCs w:val="24"/>
        </w:rPr>
        <w:t xml:space="preserve">in the thirteen colonies. When the focus of research is </w:t>
      </w:r>
      <w:r w:rsidR="00A870ED">
        <w:rPr>
          <w:rFonts w:cs="Times New Roman"/>
          <w:szCs w:val="24"/>
        </w:rPr>
        <w:t xml:space="preserve">the economic value of trade in the colonies, </w:t>
      </w:r>
      <w:r w:rsidR="00A870ED" w:rsidRPr="007678C3">
        <w:rPr>
          <w:rFonts w:cs="Times New Roman"/>
          <w:szCs w:val="24"/>
        </w:rPr>
        <w:t xml:space="preserve">literature abounds. </w:t>
      </w:r>
      <w:r w:rsidR="00A870ED">
        <w:rPr>
          <w:szCs w:val="24"/>
        </w:rPr>
        <w:t>From an empirical standpoint, McCusker (1978), Jones (1980), McCusker and Menard (1985), Perkins (1988), and McCusker (1991) all contribute to our understanding of financial wealth and serve</w:t>
      </w:r>
      <w:r w:rsidR="004C7998">
        <w:rPr>
          <w:szCs w:val="24"/>
        </w:rPr>
        <w:t xml:space="preserve"> as benchmarks for our research</w:t>
      </w:r>
      <w:r w:rsidR="00A870ED">
        <w:rPr>
          <w:szCs w:val="24"/>
        </w:rPr>
        <w:t xml:space="preserve"> in Colonial America during the seventeenth and eighteenth centuries.  </w:t>
      </w:r>
      <w:r w:rsidR="00A870ED" w:rsidRPr="00316185">
        <w:rPr>
          <w:szCs w:val="24"/>
        </w:rPr>
        <w:t xml:space="preserve">Sources on historical accounting procedures </w:t>
      </w:r>
      <w:r w:rsidR="00A870ED">
        <w:rPr>
          <w:rFonts w:cs="Times New Roman"/>
          <w:szCs w:val="24"/>
        </w:rPr>
        <w:t>detailing how to account for colonial exchange of goods</w:t>
      </w:r>
      <w:r w:rsidR="00A870ED" w:rsidRPr="00316185">
        <w:rPr>
          <w:szCs w:val="24"/>
        </w:rPr>
        <w:t xml:space="preserve"> include Baxter (</w:t>
      </w:r>
      <w:r w:rsidR="00A870ED">
        <w:rPr>
          <w:szCs w:val="24"/>
        </w:rPr>
        <w:t>1945) and Yamey (1982</w:t>
      </w:r>
      <w:r w:rsidR="00702BC3">
        <w:rPr>
          <w:szCs w:val="24"/>
        </w:rPr>
        <w:t xml:space="preserve">), </w:t>
      </w:r>
      <w:r w:rsidR="00A870ED">
        <w:rPr>
          <w:szCs w:val="24"/>
        </w:rPr>
        <w:t>the latter being a collection of articles</w:t>
      </w:r>
      <w:r w:rsidR="00A870ED" w:rsidRPr="00316185">
        <w:rPr>
          <w:szCs w:val="24"/>
        </w:rPr>
        <w:t xml:space="preserve"> ma</w:t>
      </w:r>
      <w:r w:rsidR="00A870ED">
        <w:rPr>
          <w:szCs w:val="24"/>
        </w:rPr>
        <w:t>i</w:t>
      </w:r>
      <w:r w:rsidR="00A870ED" w:rsidRPr="00316185">
        <w:rPr>
          <w:szCs w:val="24"/>
        </w:rPr>
        <w:t>n</w:t>
      </w:r>
      <w:r w:rsidR="00A870ED">
        <w:rPr>
          <w:szCs w:val="24"/>
        </w:rPr>
        <w:t>l</w:t>
      </w:r>
      <w:r w:rsidR="00A870ED" w:rsidRPr="00316185">
        <w:rPr>
          <w:szCs w:val="24"/>
        </w:rPr>
        <w:t>y on the historical evolution of accounting.</w:t>
      </w:r>
    </w:p>
    <w:p w:rsidR="00A870ED" w:rsidRDefault="00A870ED" w:rsidP="00A870ED">
      <w:pPr>
        <w:autoSpaceDE w:val="0"/>
        <w:autoSpaceDN w:val="0"/>
        <w:adjustRightInd w:val="0"/>
        <w:spacing w:after="0" w:line="480" w:lineRule="auto"/>
        <w:ind w:firstLine="720"/>
        <w:jc w:val="both"/>
        <w:rPr>
          <w:rFonts w:cs="Times New Roman"/>
          <w:szCs w:val="24"/>
        </w:rPr>
      </w:pPr>
      <w:r>
        <w:rPr>
          <w:rFonts w:cs="Times New Roman"/>
          <w:szCs w:val="24"/>
        </w:rPr>
        <w:t>When we narrow the focus to the extent and impact of merchant account book c</w:t>
      </w:r>
      <w:r w:rsidRPr="007678C3">
        <w:rPr>
          <w:rFonts w:cs="Times New Roman"/>
          <w:szCs w:val="24"/>
        </w:rPr>
        <w:t xml:space="preserve">redit </w:t>
      </w:r>
      <w:r>
        <w:rPr>
          <w:rFonts w:cs="Times New Roman"/>
          <w:szCs w:val="24"/>
        </w:rPr>
        <w:t xml:space="preserve">and its valuation in eighteenth century New England, significant studies include Martin (1939) and Baxter (1945).  Martin (1939, 122) cites an extensive </w:t>
      </w:r>
      <w:r w:rsidRPr="007678C3">
        <w:rPr>
          <w:rFonts w:cs="Times New Roman"/>
          <w:szCs w:val="24"/>
        </w:rPr>
        <w:t xml:space="preserve">network </w:t>
      </w:r>
      <w:r>
        <w:rPr>
          <w:rFonts w:cs="Times New Roman"/>
          <w:szCs w:val="24"/>
        </w:rPr>
        <w:t xml:space="preserve">of credit </w:t>
      </w:r>
      <w:r w:rsidRPr="007678C3">
        <w:rPr>
          <w:rFonts w:cs="Times New Roman"/>
          <w:szCs w:val="24"/>
        </w:rPr>
        <w:t>start</w:t>
      </w:r>
      <w:r>
        <w:rPr>
          <w:rFonts w:cs="Times New Roman"/>
          <w:szCs w:val="24"/>
        </w:rPr>
        <w:t>ing</w:t>
      </w:r>
      <w:r w:rsidRPr="007678C3">
        <w:rPr>
          <w:rFonts w:cs="Times New Roman"/>
          <w:szCs w:val="24"/>
        </w:rPr>
        <w:t xml:space="preserve"> with English merchants shipping goods to the colonies. </w:t>
      </w:r>
      <w:r w:rsidR="008E1257">
        <w:rPr>
          <w:rFonts w:cs="Times New Roman"/>
          <w:szCs w:val="24"/>
        </w:rPr>
        <w:t xml:space="preserve">The generally accepted credit term is estimated at one </w:t>
      </w:r>
      <w:r w:rsidR="008E1257">
        <w:rPr>
          <w:rFonts w:cs="Times New Roman"/>
          <w:szCs w:val="24"/>
        </w:rPr>
        <w:lastRenderedPageBreak/>
        <w:t>year</w:t>
      </w:r>
      <w:r w:rsidR="00081A03">
        <w:rPr>
          <w:rFonts w:cs="Times New Roman"/>
          <w:szCs w:val="24"/>
        </w:rPr>
        <w:t>, consistent with the modern Accounts Receivable</w:t>
      </w:r>
      <w:r w:rsidR="008E1257">
        <w:rPr>
          <w:rFonts w:cs="Times New Roman"/>
          <w:szCs w:val="24"/>
        </w:rPr>
        <w:t>.</w:t>
      </w:r>
      <w:r>
        <w:rPr>
          <w:rFonts w:cs="Times New Roman"/>
          <w:szCs w:val="24"/>
        </w:rPr>
        <w:t xml:space="preserve">  </w:t>
      </w:r>
      <w:r w:rsidRPr="007678C3">
        <w:rPr>
          <w:rFonts w:cs="Times New Roman"/>
          <w:szCs w:val="24"/>
        </w:rPr>
        <w:t xml:space="preserve">The time limit required the receiving colonial merchant to move the goods quickly. One way to </w:t>
      </w:r>
      <w:r>
        <w:rPr>
          <w:rFonts w:cs="Times New Roman"/>
          <w:szCs w:val="24"/>
        </w:rPr>
        <w:t>e</w:t>
      </w:r>
      <w:r w:rsidRPr="007678C3">
        <w:rPr>
          <w:rFonts w:cs="Times New Roman"/>
          <w:szCs w:val="24"/>
        </w:rPr>
        <w:t xml:space="preserve">nsure this was through liberal use of credit. Martin </w:t>
      </w:r>
      <w:r>
        <w:rPr>
          <w:rFonts w:cs="Times New Roman"/>
          <w:szCs w:val="24"/>
        </w:rPr>
        <w:t xml:space="preserve">(1939, 19) </w:t>
      </w:r>
      <w:r w:rsidRPr="007678C3">
        <w:rPr>
          <w:rFonts w:cs="Times New Roman"/>
          <w:szCs w:val="24"/>
        </w:rPr>
        <w:t>documents the dependence of Connecticut River valley merchants on credits from those in coastal cities, who in turn relied on credits from Boston and London.</w:t>
      </w:r>
      <w:r>
        <w:rPr>
          <w:rFonts w:cs="Times New Roman"/>
          <w:szCs w:val="24"/>
        </w:rPr>
        <w:t xml:space="preserve">  </w:t>
      </w:r>
    </w:p>
    <w:p w:rsidR="00A870ED" w:rsidRDefault="00A870ED" w:rsidP="00A870ED">
      <w:pPr>
        <w:spacing w:after="0" w:line="480" w:lineRule="auto"/>
        <w:ind w:firstLine="720"/>
        <w:jc w:val="both"/>
        <w:rPr>
          <w:rFonts w:cs="Times New Roman"/>
          <w:szCs w:val="24"/>
        </w:rPr>
      </w:pPr>
      <w:r>
        <w:t xml:space="preserve">Both Martin (1939) and Baxter (1945) use a limited sample of merchant account books as part of their investigations.  Martin (1939) uses records of the prominent Dwight merchant family from Hartford in her study, while Baxter (1945) provides an intensive examination of the business records of the Hancock family from Boston.  </w:t>
      </w:r>
      <w:r>
        <w:rPr>
          <w:rFonts w:cs="Times New Roman"/>
          <w:szCs w:val="24"/>
        </w:rPr>
        <w:t>B</w:t>
      </w:r>
      <w:r w:rsidRPr="007678C3">
        <w:rPr>
          <w:rFonts w:cs="Times New Roman"/>
          <w:szCs w:val="24"/>
        </w:rPr>
        <w:t>axter</w:t>
      </w:r>
      <w:r>
        <w:rPr>
          <w:rFonts w:cs="Times New Roman"/>
          <w:szCs w:val="24"/>
        </w:rPr>
        <w:t xml:space="preserve"> (1945, 46)</w:t>
      </w:r>
      <w:r w:rsidRPr="007678C3">
        <w:rPr>
          <w:rFonts w:cs="Times New Roman"/>
          <w:szCs w:val="24"/>
        </w:rPr>
        <w:t xml:space="preserve"> </w:t>
      </w:r>
      <w:r>
        <w:rPr>
          <w:rFonts w:cs="Times New Roman"/>
          <w:szCs w:val="24"/>
        </w:rPr>
        <w:t xml:space="preserve">further </w:t>
      </w:r>
      <w:r w:rsidRPr="007678C3">
        <w:rPr>
          <w:rFonts w:cs="Times New Roman"/>
          <w:szCs w:val="24"/>
        </w:rPr>
        <w:t xml:space="preserve">illustrates the dependence of </w:t>
      </w:r>
      <w:r>
        <w:rPr>
          <w:rFonts w:cs="Times New Roman"/>
          <w:szCs w:val="24"/>
        </w:rPr>
        <w:t xml:space="preserve">the merchant </w:t>
      </w:r>
      <w:r w:rsidRPr="007678C3">
        <w:rPr>
          <w:rFonts w:cs="Times New Roman"/>
          <w:szCs w:val="24"/>
        </w:rPr>
        <w:t xml:space="preserve">Thomas Hancock on the credit, and good will, of suppliers in England. Entire chapters describe the hardship of trade, sometimes in </w:t>
      </w:r>
      <w:r>
        <w:rPr>
          <w:rFonts w:cs="Times New Roman"/>
          <w:szCs w:val="24"/>
        </w:rPr>
        <w:t>Hancock</w:t>
      </w:r>
      <w:r w:rsidRPr="007678C3">
        <w:rPr>
          <w:rFonts w:cs="Times New Roman"/>
          <w:szCs w:val="24"/>
        </w:rPr>
        <w:t xml:space="preserve">’s own letters. </w:t>
      </w:r>
    </w:p>
    <w:p w:rsidR="00A870ED" w:rsidRDefault="00A870ED" w:rsidP="00A870ED">
      <w:pPr>
        <w:autoSpaceDE w:val="0"/>
        <w:autoSpaceDN w:val="0"/>
        <w:adjustRightInd w:val="0"/>
        <w:spacing w:after="0" w:line="480" w:lineRule="auto"/>
        <w:ind w:firstLine="720"/>
        <w:jc w:val="both"/>
        <w:rPr>
          <w:rFonts w:cs="Times New Roman"/>
          <w:szCs w:val="24"/>
        </w:rPr>
      </w:pPr>
      <w:r w:rsidRPr="007678C3">
        <w:rPr>
          <w:rFonts w:cs="Times New Roman"/>
          <w:szCs w:val="24"/>
        </w:rPr>
        <w:t>The extensive literature is narrowed somewhat when the discussion centers on the ubiquity of credit. According to Bridenbaugh</w:t>
      </w:r>
      <w:r>
        <w:rPr>
          <w:rFonts w:cs="Times New Roman"/>
          <w:szCs w:val="24"/>
        </w:rPr>
        <w:t xml:space="preserve"> (1990</w:t>
      </w:r>
      <w:r w:rsidRPr="007678C3">
        <w:rPr>
          <w:rFonts w:cs="Times New Roman"/>
          <w:szCs w:val="24"/>
        </w:rPr>
        <w:t xml:space="preserve">, </w:t>
      </w:r>
      <w:r>
        <w:rPr>
          <w:rFonts w:cs="Times New Roman"/>
          <w:szCs w:val="24"/>
        </w:rPr>
        <w:t xml:space="preserve">153-154), </w:t>
      </w:r>
      <w:r w:rsidRPr="007678C3">
        <w:rPr>
          <w:rFonts w:cs="Times New Roman"/>
          <w:szCs w:val="24"/>
        </w:rPr>
        <w:t>“it is evident that very little cash changed hands in his [craftsman] shop. Money, particularly small change, was always scarce,…”</w:t>
      </w:r>
      <w:r>
        <w:rPr>
          <w:rFonts w:cs="Times New Roman"/>
          <w:szCs w:val="24"/>
        </w:rPr>
        <w:t xml:space="preserve">  and </w:t>
      </w:r>
      <w:r w:rsidRPr="007678C3">
        <w:rPr>
          <w:rFonts w:cs="Times New Roman"/>
          <w:szCs w:val="24"/>
        </w:rPr>
        <w:t>“Credit rather than cash was the rule everywhere.”</w:t>
      </w:r>
      <w:r>
        <w:rPr>
          <w:rFonts w:cs="Times New Roman"/>
          <w:position w:val="10"/>
          <w:szCs w:val="24"/>
          <w:vertAlign w:val="superscript"/>
        </w:rPr>
        <w:t xml:space="preserve"> </w:t>
      </w:r>
      <w:r>
        <w:rPr>
          <w:rFonts w:cs="Times New Roman"/>
          <w:szCs w:val="24"/>
        </w:rPr>
        <w:t xml:space="preserve"> </w:t>
      </w:r>
      <w:r w:rsidRPr="007678C3">
        <w:rPr>
          <w:rFonts w:cs="Times New Roman"/>
          <w:szCs w:val="24"/>
        </w:rPr>
        <w:t>Baxter</w:t>
      </w:r>
      <w:r>
        <w:rPr>
          <w:rFonts w:cs="Times New Roman"/>
          <w:szCs w:val="24"/>
        </w:rPr>
        <w:t xml:space="preserve"> (1945, 14) </w:t>
      </w:r>
      <w:r w:rsidRPr="007678C3">
        <w:rPr>
          <w:rFonts w:cs="Times New Roman"/>
          <w:szCs w:val="24"/>
        </w:rPr>
        <w:t>again illustrates Thomas Hancock’s use of credit, “…although he valued what he bought and sold in terms of money, [he] seems to have handled money itself remarkably seldom.”</w:t>
      </w:r>
    </w:p>
    <w:p w:rsidR="00A870ED" w:rsidRPr="007678C3" w:rsidRDefault="00A870ED" w:rsidP="00A870ED">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The prevalence of credit as a means of </w:t>
      </w:r>
      <w:r w:rsidR="009027D5">
        <w:rPr>
          <w:rFonts w:cs="Times New Roman"/>
          <w:szCs w:val="24"/>
        </w:rPr>
        <w:t xml:space="preserve">facilitating transactions </w:t>
      </w:r>
      <w:r w:rsidRPr="007678C3">
        <w:rPr>
          <w:rFonts w:cs="Times New Roman"/>
          <w:szCs w:val="24"/>
        </w:rPr>
        <w:t xml:space="preserve">adds a new variable </w:t>
      </w:r>
      <w:r w:rsidR="002F3669">
        <w:rPr>
          <w:rFonts w:cs="Times New Roman"/>
          <w:szCs w:val="24"/>
        </w:rPr>
        <w:t>inviting</w:t>
      </w:r>
      <w:r w:rsidRPr="007678C3">
        <w:rPr>
          <w:rFonts w:cs="Times New Roman"/>
          <w:szCs w:val="24"/>
        </w:rPr>
        <w:t xml:space="preserve"> attention</w:t>
      </w:r>
      <w:r>
        <w:rPr>
          <w:rFonts w:cs="Times New Roman"/>
          <w:szCs w:val="24"/>
        </w:rPr>
        <w:t xml:space="preserve"> since t</w:t>
      </w:r>
      <w:r w:rsidRPr="007678C3">
        <w:rPr>
          <w:rFonts w:cs="Times New Roman"/>
          <w:szCs w:val="24"/>
        </w:rPr>
        <w:t>he variety of repayment options complicate</w:t>
      </w:r>
      <w:r>
        <w:rPr>
          <w:rFonts w:cs="Times New Roman"/>
          <w:szCs w:val="24"/>
        </w:rPr>
        <w:t>s</w:t>
      </w:r>
      <w:r w:rsidRPr="007678C3">
        <w:rPr>
          <w:rFonts w:cs="Times New Roman"/>
          <w:szCs w:val="24"/>
        </w:rPr>
        <w:t xml:space="preserve"> matters for th</w:t>
      </w:r>
      <w:r>
        <w:rPr>
          <w:rFonts w:cs="Times New Roman"/>
          <w:szCs w:val="24"/>
        </w:rPr>
        <w:t>e colonial monetary literature.  As Baxter (1945) notes, t</w:t>
      </w:r>
      <w:r w:rsidRPr="007678C3">
        <w:rPr>
          <w:rFonts w:cs="Times New Roman"/>
          <w:szCs w:val="24"/>
        </w:rPr>
        <w:t>he ability to practice primitive bookkeeping allowed merchants to bypass the difficulties</w:t>
      </w:r>
      <w:r>
        <w:rPr>
          <w:rFonts w:cs="Times New Roman"/>
          <w:szCs w:val="24"/>
        </w:rPr>
        <w:t>, primarily the double coincidence of wants,</w:t>
      </w:r>
      <w:r w:rsidRPr="007678C3">
        <w:rPr>
          <w:rFonts w:cs="Times New Roman"/>
          <w:szCs w:val="24"/>
        </w:rPr>
        <w:t xml:space="preserve"> associated with </w:t>
      </w:r>
      <w:r>
        <w:rPr>
          <w:rFonts w:cs="Times New Roman"/>
          <w:szCs w:val="24"/>
        </w:rPr>
        <w:t xml:space="preserve">contemporaneous </w:t>
      </w:r>
      <w:r w:rsidRPr="007678C3">
        <w:rPr>
          <w:rFonts w:cs="Times New Roman"/>
          <w:szCs w:val="24"/>
        </w:rPr>
        <w:t>barter</w:t>
      </w:r>
      <w:r>
        <w:rPr>
          <w:rFonts w:cs="Times New Roman"/>
          <w:szCs w:val="24"/>
        </w:rPr>
        <w:t xml:space="preserve"> exchanges</w:t>
      </w:r>
      <w:r w:rsidRPr="007678C3">
        <w:rPr>
          <w:rFonts w:cs="Times New Roman"/>
          <w:szCs w:val="24"/>
        </w:rPr>
        <w:t xml:space="preserve">. Baxter </w:t>
      </w:r>
      <w:r>
        <w:rPr>
          <w:rFonts w:cs="Times New Roman"/>
          <w:szCs w:val="24"/>
        </w:rPr>
        <w:t xml:space="preserve">(1945, 20) </w:t>
      </w:r>
      <w:r w:rsidRPr="007678C3">
        <w:rPr>
          <w:rFonts w:cs="Times New Roman"/>
          <w:szCs w:val="24"/>
        </w:rPr>
        <w:t>coined the term “bookkeeping barter”</w:t>
      </w:r>
      <w:r>
        <w:rPr>
          <w:rStyle w:val="FootnoteReference"/>
          <w:rFonts w:cs="Times New Roman"/>
          <w:szCs w:val="24"/>
        </w:rPr>
        <w:footnoteReference w:id="1"/>
      </w:r>
      <w:r w:rsidRPr="007678C3">
        <w:rPr>
          <w:rFonts w:cs="Times New Roman"/>
          <w:szCs w:val="24"/>
        </w:rPr>
        <w:t xml:space="preserve"> </w:t>
      </w:r>
      <w:r>
        <w:rPr>
          <w:rFonts w:cs="Times New Roman"/>
          <w:szCs w:val="24"/>
        </w:rPr>
        <w:t xml:space="preserve">to </w:t>
      </w:r>
      <w:r>
        <w:rPr>
          <w:rFonts w:cs="Times New Roman"/>
          <w:szCs w:val="24"/>
        </w:rPr>
        <w:lastRenderedPageBreak/>
        <w:t xml:space="preserve">describe the use of goods </w:t>
      </w:r>
      <w:r w:rsidRPr="007678C3">
        <w:rPr>
          <w:rFonts w:cs="Times New Roman"/>
          <w:szCs w:val="24"/>
        </w:rPr>
        <w:t xml:space="preserve">for </w:t>
      </w:r>
      <w:r>
        <w:rPr>
          <w:rFonts w:cs="Times New Roman"/>
          <w:szCs w:val="24"/>
        </w:rPr>
        <w:t>repayment of a sale originally recorded on credit</w:t>
      </w:r>
      <w:r w:rsidRPr="007678C3">
        <w:rPr>
          <w:rFonts w:cs="Times New Roman"/>
          <w:szCs w:val="24"/>
        </w:rPr>
        <w:t>.</w:t>
      </w:r>
      <w:r>
        <w:rPr>
          <w:rFonts w:cs="Times New Roman"/>
          <w:szCs w:val="24"/>
        </w:rPr>
        <w:t xml:space="preserve">  </w:t>
      </w:r>
      <w:r w:rsidRPr="007678C3">
        <w:rPr>
          <w:rFonts w:cs="Times New Roman"/>
          <w:szCs w:val="24"/>
        </w:rPr>
        <w:t>Both goods and cash appear in the account books, but usually in the fashion described by Baxter</w:t>
      </w:r>
      <w:r>
        <w:rPr>
          <w:rFonts w:cs="Times New Roman"/>
          <w:szCs w:val="24"/>
        </w:rPr>
        <w:t xml:space="preserve"> (1945, 21)</w:t>
      </w:r>
      <w:r w:rsidRPr="007678C3">
        <w:rPr>
          <w:rFonts w:cs="Times New Roman"/>
          <w:szCs w:val="24"/>
        </w:rPr>
        <w:t>: “…the accounts over and over again tell of the creditor’s weary efforts to get his dues by accepting a tardy and halting series of odds and ends.”</w:t>
      </w:r>
      <w:r w:rsidRPr="007678C3">
        <w:rPr>
          <w:rFonts w:cs="Times New Roman"/>
          <w:position w:val="10"/>
          <w:szCs w:val="24"/>
          <w:vertAlign w:val="superscript"/>
        </w:rPr>
        <w:t xml:space="preserve"> </w:t>
      </w:r>
    </w:p>
    <w:p w:rsidR="00A870ED" w:rsidRDefault="00A870ED" w:rsidP="00A870ED">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A consistent theme across the </w:t>
      </w:r>
      <w:r>
        <w:rPr>
          <w:rFonts w:cs="Times New Roman"/>
          <w:szCs w:val="24"/>
        </w:rPr>
        <w:t>literature</w:t>
      </w:r>
      <w:r w:rsidRPr="007678C3">
        <w:rPr>
          <w:rFonts w:cs="Times New Roman"/>
          <w:szCs w:val="24"/>
        </w:rPr>
        <w:t xml:space="preserve"> centers on the specification of media of exchange. Significant problems arise due to a lack of data on possibly significant elements such as specie amounts and commodity notes. Smith </w:t>
      </w:r>
      <w:r>
        <w:rPr>
          <w:rFonts w:cs="Times New Roman"/>
          <w:szCs w:val="24"/>
        </w:rPr>
        <w:t xml:space="preserve">(1985, 538) excludes merchant </w:t>
      </w:r>
      <w:r w:rsidRPr="007678C3">
        <w:rPr>
          <w:rFonts w:cs="Times New Roman"/>
          <w:szCs w:val="24"/>
        </w:rPr>
        <w:t xml:space="preserve">book credit from </w:t>
      </w:r>
      <w:r>
        <w:rPr>
          <w:rFonts w:cs="Times New Roman"/>
          <w:szCs w:val="24"/>
        </w:rPr>
        <w:t>his</w:t>
      </w:r>
      <w:r w:rsidRPr="007678C3">
        <w:rPr>
          <w:rFonts w:cs="Times New Roman"/>
          <w:szCs w:val="24"/>
        </w:rPr>
        <w:t xml:space="preserve"> analysis</w:t>
      </w:r>
      <w:r>
        <w:rPr>
          <w:rFonts w:cs="Times New Roman"/>
          <w:szCs w:val="24"/>
        </w:rPr>
        <w:t xml:space="preserve"> and fails to appreciate </w:t>
      </w:r>
      <w:r w:rsidRPr="007678C3">
        <w:rPr>
          <w:rFonts w:cs="Times New Roman"/>
          <w:szCs w:val="24"/>
        </w:rPr>
        <w:t xml:space="preserve">the trading of credits between merchant accounts books, something that adds to the importance of including </w:t>
      </w:r>
      <w:r>
        <w:rPr>
          <w:rFonts w:cs="Times New Roman"/>
          <w:szCs w:val="24"/>
        </w:rPr>
        <w:t xml:space="preserve">book </w:t>
      </w:r>
      <w:r w:rsidRPr="007678C3">
        <w:rPr>
          <w:rFonts w:cs="Times New Roman"/>
          <w:szCs w:val="24"/>
        </w:rPr>
        <w:t xml:space="preserve">credit in the analysis. </w:t>
      </w:r>
      <w:r>
        <w:rPr>
          <w:rFonts w:cs="Times New Roman"/>
          <w:szCs w:val="24"/>
        </w:rPr>
        <w:t>More recently, Flynn (2005) provides evidence that such book credit often lasted beyond one year, implying that the credit itself functioned as a medium of exchange.</w:t>
      </w:r>
    </w:p>
    <w:p w:rsidR="006B3FA8" w:rsidRDefault="006B3FA8" w:rsidP="006B3FA8">
      <w:pPr>
        <w:pStyle w:val="Footer"/>
        <w:tabs>
          <w:tab w:val="clear" w:pos="4320"/>
          <w:tab w:val="clear" w:pos="8640"/>
        </w:tabs>
        <w:spacing w:line="480" w:lineRule="auto"/>
        <w:jc w:val="both"/>
      </w:pPr>
    </w:p>
    <w:p w:rsidR="00991FAC" w:rsidRPr="007678C3" w:rsidRDefault="00991FAC" w:rsidP="00991FAC">
      <w:pPr>
        <w:autoSpaceDE w:val="0"/>
        <w:autoSpaceDN w:val="0"/>
        <w:adjustRightInd w:val="0"/>
        <w:spacing w:after="0" w:line="480" w:lineRule="auto"/>
        <w:jc w:val="both"/>
        <w:outlineLvl w:val="1"/>
        <w:rPr>
          <w:rFonts w:cs="Times New Roman"/>
          <w:szCs w:val="24"/>
        </w:rPr>
      </w:pPr>
      <w:r w:rsidRPr="007678C3">
        <w:rPr>
          <w:rFonts w:cs="Times New Roman"/>
          <w:b/>
          <w:bCs/>
          <w:szCs w:val="24"/>
        </w:rPr>
        <w:t xml:space="preserve">Business Practices </w:t>
      </w:r>
    </w:p>
    <w:p w:rsidR="00991FAC" w:rsidRPr="007678C3" w:rsidRDefault="00991FAC" w:rsidP="00991FAC">
      <w:pPr>
        <w:autoSpaceDE w:val="0"/>
        <w:autoSpaceDN w:val="0"/>
        <w:adjustRightInd w:val="0"/>
        <w:spacing w:after="0" w:line="480" w:lineRule="auto"/>
        <w:jc w:val="both"/>
        <w:rPr>
          <w:rFonts w:cs="Times New Roman"/>
          <w:szCs w:val="24"/>
        </w:rPr>
      </w:pPr>
      <w:r>
        <w:rPr>
          <w:rFonts w:cs="Times New Roman"/>
          <w:color w:val="000000"/>
          <w:szCs w:val="24"/>
        </w:rPr>
        <w:t>M</w:t>
      </w:r>
      <w:r w:rsidRPr="007678C3">
        <w:rPr>
          <w:rFonts w:cs="Times New Roman"/>
          <w:color w:val="000000"/>
          <w:szCs w:val="24"/>
        </w:rPr>
        <w:t xml:space="preserve">ost colonial New England merchants did not devote </w:t>
      </w:r>
      <w:r w:rsidR="00702BC3" w:rsidRPr="007678C3">
        <w:rPr>
          <w:rFonts w:cs="Times New Roman"/>
          <w:color w:val="000000"/>
          <w:szCs w:val="24"/>
        </w:rPr>
        <w:t>all</w:t>
      </w:r>
      <w:r>
        <w:rPr>
          <w:rFonts w:cs="Times New Roman"/>
          <w:color w:val="000000"/>
          <w:szCs w:val="24"/>
        </w:rPr>
        <w:t xml:space="preserve"> </w:t>
      </w:r>
      <w:r w:rsidRPr="007678C3">
        <w:rPr>
          <w:rFonts w:cs="Times New Roman"/>
          <w:color w:val="000000"/>
          <w:szCs w:val="24"/>
        </w:rPr>
        <w:t>their time to their business</w:t>
      </w:r>
      <w:r>
        <w:rPr>
          <w:rFonts w:cs="Times New Roman"/>
          <w:color w:val="000000"/>
          <w:szCs w:val="24"/>
        </w:rPr>
        <w:t xml:space="preserve"> since they also tended to their fields and livestock</w:t>
      </w:r>
      <w:r w:rsidRPr="007678C3">
        <w:rPr>
          <w:rFonts w:cs="Times New Roman"/>
          <w:color w:val="000000"/>
          <w:szCs w:val="24"/>
        </w:rPr>
        <w:t xml:space="preserve">. </w:t>
      </w:r>
      <w:r>
        <w:rPr>
          <w:rFonts w:cs="Times New Roman"/>
          <w:color w:val="000000"/>
          <w:szCs w:val="24"/>
        </w:rPr>
        <w:t>Thus, t</w:t>
      </w:r>
      <w:r w:rsidRPr="007678C3">
        <w:rPr>
          <w:rFonts w:cs="Times New Roman"/>
          <w:color w:val="000000"/>
          <w:szCs w:val="24"/>
        </w:rPr>
        <w:t xml:space="preserve">he number of transactions per day was quite small. Merchants also </w:t>
      </w:r>
      <w:r w:rsidRPr="007678C3">
        <w:rPr>
          <w:rFonts w:cs="Times New Roman"/>
          <w:szCs w:val="24"/>
        </w:rPr>
        <w:t xml:space="preserve">acted in place of financial intermediaries that were non-existent in colonial New England. </w:t>
      </w:r>
      <w:r>
        <w:rPr>
          <w:rFonts w:cs="Times New Roman"/>
          <w:szCs w:val="24"/>
        </w:rPr>
        <w:t xml:space="preserve">  </w:t>
      </w:r>
      <w:r w:rsidRPr="007678C3">
        <w:rPr>
          <w:rFonts w:cs="Times New Roman"/>
          <w:szCs w:val="24"/>
        </w:rPr>
        <w:t xml:space="preserve">Merchants and </w:t>
      </w:r>
      <w:r>
        <w:rPr>
          <w:rFonts w:cs="Times New Roman"/>
          <w:szCs w:val="24"/>
        </w:rPr>
        <w:t>customer</w:t>
      </w:r>
      <w:r w:rsidRPr="007678C3">
        <w:rPr>
          <w:rFonts w:cs="Times New Roman"/>
          <w:szCs w:val="24"/>
        </w:rPr>
        <w:t xml:space="preserve">s utilized a variety of </w:t>
      </w:r>
      <w:r>
        <w:rPr>
          <w:rFonts w:cs="Times New Roman"/>
          <w:szCs w:val="24"/>
        </w:rPr>
        <w:t xml:space="preserve">payment and repayment </w:t>
      </w:r>
      <w:r w:rsidRPr="007678C3">
        <w:rPr>
          <w:rFonts w:cs="Times New Roman"/>
          <w:szCs w:val="24"/>
        </w:rPr>
        <w:t xml:space="preserve">methods for the exchange of goods. </w:t>
      </w:r>
      <w:r w:rsidR="00702BC3" w:rsidRPr="007678C3">
        <w:rPr>
          <w:rFonts w:cs="Times New Roman"/>
          <w:szCs w:val="24"/>
        </w:rPr>
        <w:t>To</w:t>
      </w:r>
      <w:r w:rsidRPr="007678C3">
        <w:rPr>
          <w:rFonts w:cs="Times New Roman"/>
          <w:szCs w:val="24"/>
        </w:rPr>
        <w:t xml:space="preserve"> accurately assess credit practices, they must be placed in the appropriate context of overall business. One source of great importance in this respect is the Journal of Madam Knight</w:t>
      </w:r>
      <w:r>
        <w:rPr>
          <w:rFonts w:cs="Times New Roman"/>
          <w:szCs w:val="24"/>
        </w:rPr>
        <w:t>.</w:t>
      </w:r>
      <w:r w:rsidRPr="007678C3">
        <w:rPr>
          <w:rFonts w:cs="Times New Roman"/>
          <w:szCs w:val="24"/>
        </w:rPr>
        <w:t xml:space="preserve"> </w:t>
      </w:r>
    </w:p>
    <w:p w:rsidR="00991FAC" w:rsidRDefault="00991FAC" w:rsidP="00991FAC">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The journal is a record of the events witnessed by Sarah Knight on a trip from Brockton, Massachusetts to New Haven, Connecticut in the early eighteenth century. As part of her writing </w:t>
      </w:r>
      <w:r w:rsidRPr="007678C3">
        <w:rPr>
          <w:rFonts w:cs="Times New Roman"/>
          <w:szCs w:val="24"/>
        </w:rPr>
        <w:lastRenderedPageBreak/>
        <w:t xml:space="preserve">she describes several aspects of business practices. </w:t>
      </w:r>
      <w:r>
        <w:rPr>
          <w:rFonts w:cs="Times New Roman"/>
          <w:szCs w:val="24"/>
        </w:rPr>
        <w:t xml:space="preserve">Knight (1972, </w:t>
      </w:r>
      <w:r w:rsidRPr="006E45AE">
        <w:rPr>
          <w:rFonts w:cs="Times New Roman"/>
          <w:szCs w:val="24"/>
        </w:rPr>
        <w:t>23</w:t>
      </w:r>
      <w:r>
        <w:rPr>
          <w:rFonts w:cs="Times New Roman"/>
          <w:szCs w:val="24"/>
        </w:rPr>
        <w:t>)</w:t>
      </w:r>
      <w:r w:rsidRPr="007678C3">
        <w:rPr>
          <w:rFonts w:cs="Times New Roman"/>
          <w:szCs w:val="24"/>
        </w:rPr>
        <w:t xml:space="preserve"> provides </w:t>
      </w:r>
      <w:r>
        <w:rPr>
          <w:rFonts w:cs="Times New Roman"/>
          <w:szCs w:val="24"/>
        </w:rPr>
        <w:t>a candid</w:t>
      </w:r>
      <w:r w:rsidRPr="007678C3">
        <w:rPr>
          <w:rFonts w:cs="Times New Roman"/>
          <w:szCs w:val="24"/>
        </w:rPr>
        <w:t xml:space="preserve"> account of merchant-</w:t>
      </w:r>
      <w:r>
        <w:rPr>
          <w:rFonts w:cs="Times New Roman"/>
          <w:szCs w:val="24"/>
        </w:rPr>
        <w:t>customer</w:t>
      </w:r>
      <w:r w:rsidRPr="007678C3">
        <w:rPr>
          <w:rFonts w:cs="Times New Roman"/>
          <w:szCs w:val="24"/>
        </w:rPr>
        <w:t xml:space="preserve"> exchanges: </w:t>
      </w:r>
    </w:p>
    <w:p w:rsidR="00991FAC" w:rsidRPr="007678C3" w:rsidRDefault="00991FAC" w:rsidP="00991FAC">
      <w:pPr>
        <w:autoSpaceDE w:val="0"/>
        <w:autoSpaceDN w:val="0"/>
        <w:adjustRightInd w:val="0"/>
        <w:spacing w:after="0" w:line="480" w:lineRule="auto"/>
        <w:ind w:firstLine="720"/>
        <w:jc w:val="both"/>
        <w:rPr>
          <w:rFonts w:cs="Times New Roman"/>
          <w:szCs w:val="24"/>
        </w:rPr>
      </w:pPr>
    </w:p>
    <w:p w:rsidR="00991FAC" w:rsidRPr="007678C3" w:rsidRDefault="00991FAC" w:rsidP="00991FAC">
      <w:pPr>
        <w:autoSpaceDE w:val="0"/>
        <w:autoSpaceDN w:val="0"/>
        <w:adjustRightInd w:val="0"/>
        <w:spacing w:after="0" w:line="480" w:lineRule="auto"/>
        <w:ind w:left="1485" w:right="1380"/>
        <w:jc w:val="both"/>
        <w:rPr>
          <w:rFonts w:cs="Times New Roman"/>
          <w:szCs w:val="24"/>
        </w:rPr>
      </w:pPr>
      <w:r w:rsidRPr="007678C3">
        <w:rPr>
          <w:rFonts w:cs="Times New Roman"/>
          <w:szCs w:val="24"/>
        </w:rPr>
        <w:t>Now, when the buyer comes to ask for a commodity, sometimes before the merchant answers that he has it, he sais, is Your pay redy? Perhaps the Chap reply’s Yes: what do You pay in? say’s the merchant. The buyer having answered, then the price is set.</w:t>
      </w:r>
      <w:r w:rsidRPr="007678C3">
        <w:rPr>
          <w:rFonts w:cs="Times New Roman"/>
          <w:position w:val="10"/>
          <w:szCs w:val="24"/>
          <w:vertAlign w:val="superscript"/>
        </w:rPr>
        <w:t xml:space="preserve"> </w:t>
      </w:r>
    </w:p>
    <w:p w:rsidR="00991FAC" w:rsidRDefault="00991FAC" w:rsidP="00991FAC">
      <w:pPr>
        <w:autoSpaceDE w:val="0"/>
        <w:autoSpaceDN w:val="0"/>
        <w:adjustRightInd w:val="0"/>
        <w:spacing w:after="0" w:line="480" w:lineRule="auto"/>
        <w:jc w:val="both"/>
        <w:rPr>
          <w:rFonts w:cs="Times New Roman"/>
          <w:szCs w:val="24"/>
        </w:rPr>
      </w:pPr>
    </w:p>
    <w:p w:rsidR="00991FAC" w:rsidRDefault="00991FAC" w:rsidP="00991FAC">
      <w:pPr>
        <w:autoSpaceDE w:val="0"/>
        <w:autoSpaceDN w:val="0"/>
        <w:adjustRightInd w:val="0"/>
        <w:spacing w:after="0" w:line="480" w:lineRule="auto"/>
        <w:ind w:firstLine="720"/>
        <w:jc w:val="both"/>
        <w:rPr>
          <w:rFonts w:cs="Times New Roman"/>
          <w:szCs w:val="24"/>
        </w:rPr>
      </w:pPr>
      <w:r>
        <w:t xml:space="preserve">“Redy” </w:t>
      </w:r>
      <w:r w:rsidR="007C75E2">
        <w:t>(</w:t>
      </w:r>
      <w:r w:rsidR="007C75E2" w:rsidRPr="0041713F">
        <w:rPr>
          <w:i/>
        </w:rPr>
        <w:t>sic</w:t>
      </w:r>
      <w:r w:rsidR="007C75E2">
        <w:t xml:space="preserve">) </w:t>
      </w:r>
      <w:r>
        <w:t xml:space="preserve">pay is current payment, rather than the use of credit.  The price is then set based upon the payment offered.  </w:t>
      </w:r>
      <w:r w:rsidRPr="007678C3">
        <w:rPr>
          <w:rFonts w:cs="Times New Roman"/>
          <w:szCs w:val="24"/>
        </w:rPr>
        <w:t>Before setting the price, the parties discussed two factors: the timing</w:t>
      </w:r>
      <w:r>
        <w:rPr>
          <w:rFonts w:cs="Times New Roman"/>
          <w:szCs w:val="24"/>
        </w:rPr>
        <w:t xml:space="preserve"> a</w:t>
      </w:r>
      <w:r w:rsidRPr="007678C3">
        <w:rPr>
          <w:rFonts w:cs="Times New Roman"/>
          <w:szCs w:val="24"/>
        </w:rPr>
        <w:t xml:space="preserve">nd type of payment. The merchant asks whether he is to receive payment immediately and receiving an answer inquires as to the type of payment. A situation where pay is not “redy” </w:t>
      </w:r>
      <w:r w:rsidR="0041713F">
        <w:t>(</w:t>
      </w:r>
      <w:r w:rsidR="0041713F" w:rsidRPr="00D13B38">
        <w:rPr>
          <w:i/>
        </w:rPr>
        <w:t>sic</w:t>
      </w:r>
      <w:r w:rsidR="0041713F">
        <w:t xml:space="preserve">) </w:t>
      </w:r>
      <w:r w:rsidRPr="007678C3">
        <w:rPr>
          <w:rFonts w:cs="Times New Roman"/>
          <w:szCs w:val="24"/>
        </w:rPr>
        <w:t xml:space="preserve">is </w:t>
      </w:r>
      <w:r>
        <w:rPr>
          <w:rFonts w:cs="Times New Roman"/>
          <w:szCs w:val="24"/>
        </w:rPr>
        <w:t>an extension of credit requiring re</w:t>
      </w:r>
      <w:r w:rsidRPr="007678C3">
        <w:rPr>
          <w:rFonts w:cs="Times New Roman"/>
          <w:szCs w:val="24"/>
        </w:rPr>
        <w:t xml:space="preserve">payment. </w:t>
      </w:r>
    </w:p>
    <w:p w:rsidR="00991FAC" w:rsidRDefault="00991FAC" w:rsidP="00EF6BD1">
      <w:pPr>
        <w:autoSpaceDE w:val="0"/>
        <w:autoSpaceDN w:val="0"/>
        <w:adjustRightInd w:val="0"/>
        <w:spacing w:after="0" w:line="480" w:lineRule="auto"/>
        <w:jc w:val="both"/>
        <w:rPr>
          <w:rFonts w:cs="Times New Roman"/>
          <w:szCs w:val="24"/>
        </w:rPr>
      </w:pPr>
      <w:r>
        <w:t xml:space="preserve"> </w:t>
      </w:r>
      <w:r w:rsidR="00EF6BD1">
        <w:tab/>
      </w:r>
      <w:r w:rsidRPr="007678C3">
        <w:rPr>
          <w:rFonts w:cs="Times New Roman"/>
          <w:szCs w:val="24"/>
        </w:rPr>
        <w:t xml:space="preserve">Merchants accepted </w:t>
      </w:r>
      <w:r>
        <w:rPr>
          <w:rFonts w:cs="Times New Roman"/>
          <w:szCs w:val="24"/>
        </w:rPr>
        <w:t xml:space="preserve">repayments in </w:t>
      </w:r>
      <w:r w:rsidRPr="007678C3">
        <w:rPr>
          <w:rFonts w:cs="Times New Roman"/>
          <w:szCs w:val="24"/>
        </w:rPr>
        <w:t xml:space="preserve">many </w:t>
      </w:r>
      <w:r>
        <w:rPr>
          <w:rFonts w:cs="Times New Roman"/>
          <w:szCs w:val="24"/>
        </w:rPr>
        <w:t xml:space="preserve">forms, either directly or indirectly through a </w:t>
      </w:r>
      <w:r w:rsidR="00702BC3">
        <w:rPr>
          <w:rFonts w:cs="Times New Roman"/>
          <w:szCs w:val="24"/>
        </w:rPr>
        <w:t>third-party</w:t>
      </w:r>
      <w:r>
        <w:rPr>
          <w:rFonts w:cs="Times New Roman"/>
          <w:szCs w:val="24"/>
        </w:rPr>
        <w:t xml:space="preserve">.  The main forms of repayment can be broadly classified as: Cash, Notes, </w:t>
      </w:r>
      <w:r w:rsidR="007F48EC">
        <w:rPr>
          <w:rFonts w:cs="Times New Roman"/>
          <w:szCs w:val="24"/>
        </w:rPr>
        <w:t xml:space="preserve">Bond, </w:t>
      </w:r>
      <w:r>
        <w:rPr>
          <w:rFonts w:cs="Times New Roman"/>
          <w:szCs w:val="24"/>
        </w:rPr>
        <w:t xml:space="preserve">Goods, Labor, and Reckoning. </w:t>
      </w:r>
      <w:r w:rsidRPr="007678C3">
        <w:rPr>
          <w:rFonts w:cs="Times New Roman"/>
          <w:szCs w:val="24"/>
        </w:rPr>
        <w:t>Cash includes government</w:t>
      </w:r>
      <w:r>
        <w:rPr>
          <w:rFonts w:cs="Times New Roman"/>
          <w:szCs w:val="24"/>
        </w:rPr>
        <w:t>-</w:t>
      </w:r>
      <w:r w:rsidRPr="007678C3">
        <w:rPr>
          <w:rFonts w:cs="Times New Roman"/>
          <w:szCs w:val="24"/>
        </w:rPr>
        <w:t xml:space="preserve">issued paper notes and specie, though imprecise bookkeeping means some personal and </w:t>
      </w:r>
      <w:r w:rsidR="00702BC3">
        <w:rPr>
          <w:rFonts w:cs="Times New Roman"/>
          <w:szCs w:val="24"/>
        </w:rPr>
        <w:t>third-party</w:t>
      </w:r>
      <w:r w:rsidRPr="007678C3">
        <w:rPr>
          <w:rFonts w:cs="Times New Roman"/>
          <w:szCs w:val="24"/>
        </w:rPr>
        <w:t xml:space="preserve"> notes may be included in this category. The personal and </w:t>
      </w:r>
      <w:r w:rsidR="00702BC3">
        <w:rPr>
          <w:rFonts w:cs="Times New Roman"/>
          <w:szCs w:val="24"/>
        </w:rPr>
        <w:t>third-party</w:t>
      </w:r>
      <w:r w:rsidRPr="007678C3">
        <w:rPr>
          <w:rFonts w:cs="Times New Roman"/>
          <w:szCs w:val="24"/>
        </w:rPr>
        <w:t xml:space="preserve"> </w:t>
      </w:r>
      <w:r>
        <w:rPr>
          <w:rFonts w:cs="Times New Roman"/>
          <w:szCs w:val="24"/>
        </w:rPr>
        <w:t>notes</w:t>
      </w:r>
      <w:r w:rsidRPr="007678C3">
        <w:rPr>
          <w:rFonts w:cs="Times New Roman"/>
          <w:szCs w:val="24"/>
        </w:rPr>
        <w:t xml:space="preserve"> are a</w:t>
      </w:r>
      <w:r>
        <w:rPr>
          <w:rFonts w:cs="Times New Roman"/>
          <w:szCs w:val="24"/>
        </w:rPr>
        <w:t>lternative credit instruments, serving as a</w:t>
      </w:r>
      <w:r w:rsidRPr="007678C3">
        <w:rPr>
          <w:rFonts w:cs="Times New Roman"/>
          <w:szCs w:val="24"/>
        </w:rPr>
        <w:t xml:space="preserve"> swap of one form of credit for another. The note was written out explaining the amount to be paid, the date after which payment would be made</w:t>
      </w:r>
      <w:r>
        <w:rPr>
          <w:rFonts w:cs="Times New Roman"/>
          <w:szCs w:val="24"/>
        </w:rPr>
        <w:t>,</w:t>
      </w:r>
      <w:r w:rsidRPr="007678C3">
        <w:rPr>
          <w:rFonts w:cs="Times New Roman"/>
          <w:szCs w:val="24"/>
        </w:rPr>
        <w:t xml:space="preserve"> and the signature of the debtor. The substitution of one form of credit for another was probably allowed because of the ease of using </w:t>
      </w:r>
      <w:r w:rsidR="00702BC3">
        <w:rPr>
          <w:rFonts w:cs="Times New Roman"/>
          <w:szCs w:val="24"/>
        </w:rPr>
        <w:t>third-party</w:t>
      </w:r>
      <w:r w:rsidRPr="007678C3">
        <w:rPr>
          <w:rFonts w:cs="Times New Roman"/>
          <w:szCs w:val="24"/>
        </w:rPr>
        <w:t xml:space="preserve"> notes in payment. The merchant could simply endorse the note to someone else and present it to </w:t>
      </w:r>
      <w:r>
        <w:rPr>
          <w:rFonts w:cs="Times New Roman"/>
          <w:szCs w:val="24"/>
        </w:rPr>
        <w:t>hi</w:t>
      </w:r>
      <w:r w:rsidRPr="007678C3">
        <w:rPr>
          <w:rFonts w:cs="Times New Roman"/>
          <w:szCs w:val="24"/>
        </w:rPr>
        <w:t xml:space="preserve">m. The new individual </w:t>
      </w:r>
      <w:r w:rsidRPr="007678C3">
        <w:rPr>
          <w:rFonts w:cs="Times New Roman"/>
          <w:szCs w:val="24"/>
        </w:rPr>
        <w:lastRenderedPageBreak/>
        <w:t>was entitled to the payment described in the note.</w:t>
      </w:r>
      <w:r>
        <w:rPr>
          <w:rFonts w:cs="Times New Roman"/>
          <w:szCs w:val="24"/>
        </w:rPr>
        <w:t xml:space="preserve">  Payment by bond may bear little difference from a note and was used less frequently than notes.</w:t>
      </w:r>
    </w:p>
    <w:p w:rsidR="00991FAC" w:rsidRDefault="00991FAC" w:rsidP="00991FAC">
      <w:pPr>
        <w:spacing w:after="0" w:line="480" w:lineRule="auto"/>
        <w:ind w:firstLine="720"/>
        <w:jc w:val="both"/>
      </w:pPr>
      <w:r>
        <w:t xml:space="preserve">Repayment in goods after the fact recognizes the extension of credit rather than a simultaneous barter transaction.  Customers and merchants can avoid the associated problems of barter when the merchant chooses to accept other methods of payment, including this delayed form.  </w:t>
      </w:r>
    </w:p>
    <w:p w:rsidR="00991FAC" w:rsidRDefault="00991FAC" w:rsidP="00991FAC">
      <w:pPr>
        <w:autoSpaceDE w:val="0"/>
        <w:autoSpaceDN w:val="0"/>
        <w:adjustRightInd w:val="0"/>
        <w:spacing w:after="0" w:line="480" w:lineRule="auto"/>
        <w:ind w:firstLine="720"/>
        <w:jc w:val="both"/>
        <w:rPr>
          <w:rFonts w:cs="Times New Roman"/>
          <w:szCs w:val="24"/>
        </w:rPr>
      </w:pPr>
      <w:r>
        <w:rPr>
          <w:rFonts w:cs="Times New Roman"/>
          <w:szCs w:val="24"/>
        </w:rPr>
        <w:t>Returning to Madam Knight</w:t>
      </w:r>
      <w:r w:rsidRPr="007678C3">
        <w:rPr>
          <w:rFonts w:cs="Times New Roman"/>
          <w:szCs w:val="24"/>
        </w:rPr>
        <w:t xml:space="preserve"> </w:t>
      </w:r>
      <w:r>
        <w:rPr>
          <w:rFonts w:cs="Times New Roman"/>
          <w:szCs w:val="24"/>
        </w:rPr>
        <w:t>(1972, 24), one can see the various methods of payment, both current and credit, available to customer</w:t>
      </w:r>
      <w:r w:rsidRPr="007678C3">
        <w:rPr>
          <w:rFonts w:cs="Times New Roman"/>
          <w:szCs w:val="24"/>
        </w:rPr>
        <w:t xml:space="preserve">s. </w:t>
      </w:r>
    </w:p>
    <w:p w:rsidR="00991FAC" w:rsidRPr="007678C3" w:rsidRDefault="00991FAC" w:rsidP="00991FAC">
      <w:pPr>
        <w:autoSpaceDE w:val="0"/>
        <w:autoSpaceDN w:val="0"/>
        <w:adjustRightInd w:val="0"/>
        <w:spacing w:after="0" w:line="480" w:lineRule="auto"/>
        <w:ind w:firstLine="720"/>
        <w:jc w:val="both"/>
        <w:rPr>
          <w:rFonts w:cs="Times New Roman"/>
          <w:szCs w:val="24"/>
        </w:rPr>
      </w:pPr>
    </w:p>
    <w:p w:rsidR="00991FAC" w:rsidRPr="007678C3" w:rsidRDefault="00991FAC" w:rsidP="00991FAC">
      <w:pPr>
        <w:autoSpaceDE w:val="0"/>
        <w:autoSpaceDN w:val="0"/>
        <w:adjustRightInd w:val="0"/>
        <w:spacing w:after="0" w:line="480" w:lineRule="auto"/>
        <w:ind w:left="1485" w:right="1380" w:hanging="45"/>
        <w:jc w:val="both"/>
        <w:rPr>
          <w:rFonts w:cs="Times New Roman"/>
          <w:szCs w:val="24"/>
        </w:rPr>
      </w:pPr>
      <w:r w:rsidRPr="007678C3">
        <w:rPr>
          <w:rFonts w:cs="Times New Roman"/>
          <w:szCs w:val="24"/>
        </w:rPr>
        <w:t>Pay is Grain, Pork, Beef, &amp;tc. at the prices sett by the General Court that Year; mony is pieces of Eight, Ryalls, or Boston or Bay shillings (as they call them) or Good hard money, as sometimes silver coin is termed by them; also Wampom viz</w:t>
      </w:r>
      <w:r w:rsidRPr="007678C3">
        <w:rPr>
          <w:rFonts w:cs="Times New Roman"/>
          <w:position w:val="10"/>
          <w:szCs w:val="24"/>
          <w:vertAlign w:val="superscript"/>
        </w:rPr>
        <w:t xml:space="preserve">t. </w:t>
      </w:r>
      <w:r w:rsidRPr="007678C3">
        <w:rPr>
          <w:rFonts w:cs="Times New Roman"/>
          <w:szCs w:val="24"/>
        </w:rPr>
        <w:t>Indian beads w</w:t>
      </w:r>
      <w:r w:rsidRPr="007678C3">
        <w:rPr>
          <w:rFonts w:cs="Times New Roman"/>
          <w:position w:val="10"/>
          <w:szCs w:val="24"/>
          <w:vertAlign w:val="superscript"/>
        </w:rPr>
        <w:t xml:space="preserve">ch </w:t>
      </w:r>
      <w:r w:rsidRPr="007678C3">
        <w:rPr>
          <w:rFonts w:cs="Times New Roman"/>
          <w:szCs w:val="24"/>
        </w:rPr>
        <w:t>serves for change. Pay as mony is provisions, as afores</w:t>
      </w:r>
      <w:r w:rsidRPr="007678C3">
        <w:rPr>
          <w:rFonts w:cs="Times New Roman"/>
          <w:position w:val="10"/>
          <w:szCs w:val="24"/>
          <w:vertAlign w:val="superscript"/>
        </w:rPr>
        <w:t xml:space="preserve">d </w:t>
      </w:r>
      <w:r w:rsidRPr="007678C3">
        <w:rPr>
          <w:rFonts w:cs="Times New Roman"/>
          <w:szCs w:val="24"/>
        </w:rPr>
        <w:t>one Third cheaper then as the Assembly of Gene</w:t>
      </w:r>
      <w:r w:rsidRPr="007678C3">
        <w:rPr>
          <w:rFonts w:cs="Times New Roman"/>
          <w:position w:val="10"/>
          <w:szCs w:val="24"/>
          <w:vertAlign w:val="superscript"/>
        </w:rPr>
        <w:t xml:space="preserve">l </w:t>
      </w:r>
      <w:r w:rsidRPr="007678C3">
        <w:rPr>
          <w:rFonts w:cs="Times New Roman"/>
          <w:szCs w:val="24"/>
        </w:rPr>
        <w:t>Court sets it; and Trust as they and the merch</w:t>
      </w:r>
      <w:r w:rsidRPr="007678C3">
        <w:rPr>
          <w:rFonts w:cs="Times New Roman"/>
          <w:position w:val="10"/>
          <w:szCs w:val="24"/>
          <w:vertAlign w:val="superscript"/>
        </w:rPr>
        <w:t xml:space="preserve">t </w:t>
      </w:r>
      <w:r w:rsidRPr="007678C3">
        <w:rPr>
          <w:rFonts w:cs="Times New Roman"/>
          <w:szCs w:val="24"/>
        </w:rPr>
        <w:t>agree for time.</w:t>
      </w:r>
      <w:r w:rsidRPr="007678C3">
        <w:rPr>
          <w:rFonts w:cs="Times New Roman"/>
          <w:position w:val="10"/>
          <w:szCs w:val="24"/>
          <w:vertAlign w:val="superscript"/>
        </w:rPr>
        <w:t xml:space="preserve"> </w:t>
      </w:r>
    </w:p>
    <w:p w:rsidR="00991FAC" w:rsidRDefault="00991FAC" w:rsidP="00991FAC">
      <w:pPr>
        <w:autoSpaceDE w:val="0"/>
        <w:autoSpaceDN w:val="0"/>
        <w:adjustRightInd w:val="0"/>
        <w:spacing w:after="0" w:line="480" w:lineRule="auto"/>
        <w:jc w:val="both"/>
        <w:rPr>
          <w:rFonts w:cs="Times New Roman"/>
          <w:szCs w:val="24"/>
        </w:rPr>
      </w:pPr>
    </w:p>
    <w:p w:rsidR="00991FAC" w:rsidRDefault="00991FAC" w:rsidP="00991FAC">
      <w:pPr>
        <w:spacing w:after="0" w:line="480" w:lineRule="auto"/>
        <w:ind w:firstLine="720"/>
        <w:jc w:val="both"/>
      </w:pPr>
      <w:r w:rsidRPr="007678C3">
        <w:rPr>
          <w:rFonts w:cs="Times New Roman"/>
          <w:szCs w:val="24"/>
        </w:rPr>
        <w:t xml:space="preserve">“Pay” is also called “country pay” in other sources and is </w:t>
      </w:r>
      <w:r w:rsidR="004F0832" w:rsidRPr="007678C3">
        <w:rPr>
          <w:rFonts w:cs="Times New Roman"/>
          <w:szCs w:val="24"/>
        </w:rPr>
        <w:t>like</w:t>
      </w:r>
      <w:r w:rsidRPr="007678C3">
        <w:rPr>
          <w:rFonts w:cs="Times New Roman"/>
          <w:szCs w:val="24"/>
        </w:rPr>
        <w:t xml:space="preserve"> the goods category mentioned earlier. Weiss </w:t>
      </w:r>
      <w:r>
        <w:rPr>
          <w:rFonts w:cs="Times New Roman"/>
          <w:szCs w:val="24"/>
        </w:rPr>
        <w:t xml:space="preserve">(1970) </w:t>
      </w:r>
      <w:r w:rsidRPr="007678C3">
        <w:rPr>
          <w:rFonts w:cs="Times New Roman"/>
          <w:szCs w:val="24"/>
        </w:rPr>
        <w:t xml:space="preserve">speculates that the distinction between “pay” and “pay as mony” </w:t>
      </w:r>
      <w:r w:rsidR="0041713F">
        <w:t>(</w:t>
      </w:r>
      <w:r w:rsidR="0041713F" w:rsidRPr="00D13B38">
        <w:rPr>
          <w:i/>
        </w:rPr>
        <w:t>sic</w:t>
      </w:r>
      <w:r w:rsidR="0041713F">
        <w:t xml:space="preserve">) </w:t>
      </w:r>
      <w:r w:rsidRPr="007678C3">
        <w:rPr>
          <w:rFonts w:cs="Times New Roman"/>
          <w:szCs w:val="24"/>
        </w:rPr>
        <w:t xml:space="preserve">arose when the prices set by the General Court were not in line with market prices, but they both clearly involve the merchant accepting goods as payment. Knight’s “mony” </w:t>
      </w:r>
      <w:r w:rsidR="0041713F">
        <w:t>(</w:t>
      </w:r>
      <w:r w:rsidR="0041713F" w:rsidRPr="00D13B38">
        <w:rPr>
          <w:i/>
        </w:rPr>
        <w:t>sic</w:t>
      </w:r>
      <w:r w:rsidR="0041713F">
        <w:t xml:space="preserve">) </w:t>
      </w:r>
      <w:r w:rsidRPr="007678C3">
        <w:rPr>
          <w:rFonts w:cs="Times New Roman"/>
          <w:szCs w:val="24"/>
        </w:rPr>
        <w:t xml:space="preserve">category is limited to minted coins, foreign and domestic, and </w:t>
      </w:r>
      <w:r>
        <w:rPr>
          <w:rFonts w:cs="Times New Roman"/>
          <w:szCs w:val="24"/>
        </w:rPr>
        <w:t>I</w:t>
      </w:r>
      <w:r w:rsidRPr="007678C3">
        <w:rPr>
          <w:rFonts w:cs="Times New Roman"/>
          <w:szCs w:val="24"/>
        </w:rPr>
        <w:t xml:space="preserve">ndian beads. </w:t>
      </w:r>
      <w:r>
        <w:t xml:space="preserve">“Pay as mony” </w:t>
      </w:r>
      <w:r w:rsidR="0041713F">
        <w:t>(</w:t>
      </w:r>
      <w:r w:rsidR="0041713F" w:rsidRPr="00D13B38">
        <w:rPr>
          <w:i/>
        </w:rPr>
        <w:t>sic</w:t>
      </w:r>
      <w:r w:rsidR="0041713F">
        <w:t xml:space="preserve">) </w:t>
      </w:r>
      <w:r>
        <w:t xml:space="preserve">are the same products </w:t>
      </w:r>
      <w:r>
        <w:lastRenderedPageBreak/>
        <w:t xml:space="preserve">from the earlier category though in this circumstance they are discounted by one third, though there is no reason to believe the one-third discount was an actual rule; the discount is indicative of merchants’ recognition that market prices and government-set prices may diverge.  The last method of payment listed is trust, essentially credit.  Merchant and customer agree on a length of time waited for payment.  The parties likely negotiate the method of repayment as well, though this is not necessarily the case.  </w:t>
      </w:r>
    </w:p>
    <w:p w:rsidR="00991FAC" w:rsidRDefault="00991FAC" w:rsidP="00991FAC">
      <w:pPr>
        <w:autoSpaceDE w:val="0"/>
        <w:autoSpaceDN w:val="0"/>
        <w:adjustRightInd w:val="0"/>
        <w:spacing w:after="0" w:line="480" w:lineRule="auto"/>
        <w:ind w:firstLine="720"/>
        <w:jc w:val="both"/>
        <w:rPr>
          <w:rFonts w:cs="Times New Roman"/>
          <w:szCs w:val="24"/>
        </w:rPr>
      </w:pPr>
      <w:r>
        <w:t xml:space="preserve">Madam Knight (1972, 22-23) reports that merchants did exercise discretion when encountering customers who are indebted to them, relaying the following example that </w:t>
      </w:r>
      <w:r w:rsidRPr="007678C3">
        <w:rPr>
          <w:rFonts w:cs="Times New Roman"/>
          <w:szCs w:val="24"/>
        </w:rPr>
        <w:t xml:space="preserve">focuses on a country buyer and the merchant: </w:t>
      </w:r>
    </w:p>
    <w:p w:rsidR="00991FAC" w:rsidRPr="007678C3" w:rsidRDefault="00991FAC" w:rsidP="00991FAC">
      <w:pPr>
        <w:autoSpaceDE w:val="0"/>
        <w:autoSpaceDN w:val="0"/>
        <w:adjustRightInd w:val="0"/>
        <w:spacing w:after="0" w:line="480" w:lineRule="auto"/>
        <w:jc w:val="both"/>
        <w:rPr>
          <w:rFonts w:cs="Times New Roman"/>
          <w:szCs w:val="24"/>
        </w:rPr>
      </w:pPr>
    </w:p>
    <w:p w:rsidR="00991FAC" w:rsidRPr="007678C3" w:rsidRDefault="00991FAC" w:rsidP="00991FAC">
      <w:pPr>
        <w:autoSpaceDE w:val="0"/>
        <w:autoSpaceDN w:val="0"/>
        <w:adjustRightInd w:val="0"/>
        <w:spacing w:after="0" w:line="480" w:lineRule="auto"/>
        <w:ind w:left="1320" w:right="1380"/>
        <w:jc w:val="both"/>
        <w:rPr>
          <w:rFonts w:cs="Times New Roman"/>
          <w:szCs w:val="24"/>
        </w:rPr>
      </w:pPr>
      <w:r w:rsidRPr="007678C3">
        <w:rPr>
          <w:rFonts w:cs="Times New Roman"/>
          <w:szCs w:val="24"/>
        </w:rPr>
        <w:t>They [country fellows] Generally stand after they come in a great while speechless, and sometimes don’t say a word till they are askt what they want, which I Impute to the Awe they stand in of the merchants, who they are constantly almost Indebted too; and must take what they bring without Liberty to choose for themselves; but they serve them was well, making the merchants stay long enough for their pay.</w:t>
      </w:r>
      <w:r w:rsidRPr="007678C3">
        <w:rPr>
          <w:rFonts w:cs="Times New Roman"/>
          <w:position w:val="10"/>
          <w:szCs w:val="24"/>
          <w:vertAlign w:val="superscript"/>
        </w:rPr>
        <w:t xml:space="preserve"> </w:t>
      </w:r>
    </w:p>
    <w:p w:rsidR="00991FAC" w:rsidRDefault="00991FAC" w:rsidP="00991FAC">
      <w:pPr>
        <w:autoSpaceDE w:val="0"/>
        <w:autoSpaceDN w:val="0"/>
        <w:adjustRightInd w:val="0"/>
        <w:spacing w:after="0" w:line="480" w:lineRule="auto"/>
        <w:ind w:firstLine="720"/>
        <w:jc w:val="both"/>
        <w:rPr>
          <w:rFonts w:cs="Times New Roman"/>
          <w:szCs w:val="24"/>
        </w:rPr>
      </w:pPr>
    </w:p>
    <w:p w:rsidR="00991FAC" w:rsidRPr="007678C3" w:rsidRDefault="00991FAC" w:rsidP="00991FAC">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The implication that merchants choose what </w:t>
      </w:r>
      <w:r>
        <w:rPr>
          <w:rFonts w:cs="Times New Roman"/>
          <w:szCs w:val="24"/>
        </w:rPr>
        <w:t>a customer</w:t>
      </w:r>
      <w:r w:rsidRPr="007678C3">
        <w:rPr>
          <w:rFonts w:cs="Times New Roman"/>
          <w:szCs w:val="24"/>
        </w:rPr>
        <w:t xml:space="preserve"> can buy is </w:t>
      </w:r>
      <w:r>
        <w:rPr>
          <w:rFonts w:cs="Times New Roman"/>
          <w:szCs w:val="24"/>
        </w:rPr>
        <w:t>striking</w:t>
      </w:r>
      <w:r w:rsidRPr="007678C3">
        <w:rPr>
          <w:rFonts w:cs="Times New Roman"/>
          <w:szCs w:val="24"/>
        </w:rPr>
        <w:t xml:space="preserve">. </w:t>
      </w:r>
      <w:r>
        <w:rPr>
          <w:rFonts w:cs="Times New Roman"/>
          <w:szCs w:val="24"/>
        </w:rPr>
        <w:t>One way to</w:t>
      </w:r>
      <w:r w:rsidRPr="007678C3">
        <w:rPr>
          <w:rFonts w:cs="Times New Roman"/>
          <w:szCs w:val="24"/>
        </w:rPr>
        <w:t xml:space="preserve"> interpret the activities described in this passage </w:t>
      </w:r>
      <w:r>
        <w:rPr>
          <w:rFonts w:cs="Times New Roman"/>
          <w:szCs w:val="24"/>
        </w:rPr>
        <w:t xml:space="preserve">is </w:t>
      </w:r>
      <w:r w:rsidRPr="007678C3">
        <w:rPr>
          <w:rFonts w:cs="Times New Roman"/>
          <w:szCs w:val="24"/>
        </w:rPr>
        <w:t xml:space="preserve">as a form of rationing employed by the merchant. Only certain goods are allowed for those who are currently in debt to the </w:t>
      </w:r>
      <w:r w:rsidR="004F0832" w:rsidRPr="007678C3">
        <w:rPr>
          <w:rFonts w:cs="Times New Roman"/>
          <w:szCs w:val="24"/>
        </w:rPr>
        <w:t>merchant or</w:t>
      </w:r>
      <w:r w:rsidRPr="007678C3">
        <w:rPr>
          <w:rFonts w:cs="Times New Roman"/>
          <w:szCs w:val="24"/>
        </w:rPr>
        <w:t xml:space="preserve"> are likely to require time for repayment. </w:t>
      </w:r>
    </w:p>
    <w:p w:rsidR="00991FAC" w:rsidRDefault="00991FAC" w:rsidP="00991FAC">
      <w:pPr>
        <w:autoSpaceDE w:val="0"/>
        <w:autoSpaceDN w:val="0"/>
        <w:adjustRightInd w:val="0"/>
        <w:spacing w:after="0" w:line="480" w:lineRule="auto"/>
        <w:ind w:firstLine="720"/>
        <w:jc w:val="both"/>
      </w:pPr>
      <w:r w:rsidRPr="007678C3">
        <w:rPr>
          <w:rFonts w:cs="Times New Roman"/>
          <w:szCs w:val="24"/>
        </w:rPr>
        <w:lastRenderedPageBreak/>
        <w:t>The above passages from Madam Knight provide insights into the way prices were set</w:t>
      </w:r>
      <w:r>
        <w:rPr>
          <w:rFonts w:cs="Times New Roman"/>
          <w:szCs w:val="24"/>
        </w:rPr>
        <w:t xml:space="preserve"> and that </w:t>
      </w:r>
      <w:r>
        <w:t xml:space="preserve">payments were complex undertakings with various instruments acceptable for satisfying account balances.  Her tales reinforce the view presented in Baxter (1945) and developed here: </w:t>
      </w:r>
      <w:r w:rsidR="004F0832">
        <w:t xml:space="preserve">Customers </w:t>
      </w:r>
      <w:r>
        <w:t>and merchants made use of more than just minted coins and paper notes in daily exchange.  The mixed methods of payments bring up a further use for credit, that of making change.  With insufficient supplies of money store credit may have been the most acceptable form of change available.</w:t>
      </w:r>
    </w:p>
    <w:p w:rsidR="00991FAC" w:rsidRDefault="00991FAC" w:rsidP="00991FAC">
      <w:pPr>
        <w:spacing w:line="480" w:lineRule="auto"/>
        <w:ind w:firstLine="720"/>
        <w:jc w:val="both"/>
        <w:rPr>
          <w:rFonts w:cs="Times New Roman"/>
          <w:szCs w:val="24"/>
        </w:rPr>
      </w:pPr>
      <w:r w:rsidRPr="007678C3">
        <w:rPr>
          <w:rFonts w:cs="Times New Roman"/>
          <w:szCs w:val="24"/>
        </w:rPr>
        <w:t xml:space="preserve">With the formal definitions and general business practices in place, </w:t>
      </w:r>
      <w:r>
        <w:rPr>
          <w:rFonts w:cs="Times New Roman"/>
          <w:szCs w:val="24"/>
        </w:rPr>
        <w:t>we</w:t>
      </w:r>
      <w:r w:rsidRPr="007678C3">
        <w:rPr>
          <w:rFonts w:cs="Times New Roman"/>
          <w:szCs w:val="24"/>
        </w:rPr>
        <w:t xml:space="preserve"> next de</w:t>
      </w:r>
      <w:r>
        <w:rPr>
          <w:rFonts w:cs="Times New Roman"/>
          <w:szCs w:val="24"/>
        </w:rPr>
        <w:t>lineate how merchants recorded these exchanges</w:t>
      </w:r>
      <w:r w:rsidRPr="007678C3">
        <w:rPr>
          <w:rFonts w:cs="Times New Roman"/>
          <w:szCs w:val="24"/>
        </w:rPr>
        <w:t xml:space="preserve">. </w:t>
      </w:r>
    </w:p>
    <w:p w:rsidR="003D5F48" w:rsidRDefault="003D5F48" w:rsidP="00956A52">
      <w:pPr>
        <w:rPr>
          <w:b/>
          <w:szCs w:val="24"/>
        </w:rPr>
      </w:pPr>
    </w:p>
    <w:p w:rsidR="00956A52" w:rsidRPr="001419D7" w:rsidRDefault="00956A52" w:rsidP="000F411F">
      <w:pPr>
        <w:keepNext/>
        <w:widowControl w:val="0"/>
        <w:rPr>
          <w:b/>
          <w:szCs w:val="24"/>
        </w:rPr>
      </w:pPr>
      <w:r w:rsidRPr="001419D7">
        <w:rPr>
          <w:b/>
          <w:szCs w:val="24"/>
        </w:rPr>
        <w:t>Account Books</w:t>
      </w:r>
    </w:p>
    <w:p w:rsidR="00956A52" w:rsidRDefault="00956A52" w:rsidP="00956A52">
      <w:pPr>
        <w:autoSpaceDE w:val="0"/>
        <w:autoSpaceDN w:val="0"/>
        <w:adjustRightInd w:val="0"/>
        <w:spacing w:after="0" w:line="480" w:lineRule="auto"/>
        <w:jc w:val="both"/>
        <w:rPr>
          <w:rFonts w:cs="Times New Roman"/>
          <w:szCs w:val="24"/>
        </w:rPr>
      </w:pPr>
      <w:r w:rsidRPr="007678C3">
        <w:rPr>
          <w:rFonts w:cs="Times New Roman"/>
          <w:szCs w:val="24"/>
        </w:rPr>
        <w:t>The merchant’s account book allowed for loans, transfers of value</w:t>
      </w:r>
      <w:r>
        <w:rPr>
          <w:rFonts w:cs="Times New Roman"/>
          <w:szCs w:val="24"/>
        </w:rPr>
        <w:t>,</w:t>
      </w:r>
      <w:r w:rsidRPr="007678C3">
        <w:rPr>
          <w:rFonts w:cs="Times New Roman"/>
          <w:szCs w:val="24"/>
        </w:rPr>
        <w:t xml:space="preserve"> and possibly saving. </w:t>
      </w:r>
      <w:r>
        <w:rPr>
          <w:rFonts w:cs="Times New Roman"/>
          <w:szCs w:val="24"/>
        </w:rPr>
        <w:t xml:space="preserve">While Bailyn (1979) </w:t>
      </w:r>
      <w:r w:rsidRPr="007678C3">
        <w:rPr>
          <w:rFonts w:cs="Times New Roman"/>
          <w:szCs w:val="24"/>
        </w:rPr>
        <w:t>focus</w:t>
      </w:r>
      <w:r>
        <w:rPr>
          <w:rFonts w:cs="Times New Roman"/>
          <w:szCs w:val="24"/>
        </w:rPr>
        <w:t>es</w:t>
      </w:r>
      <w:r w:rsidRPr="007678C3">
        <w:rPr>
          <w:rFonts w:cs="Times New Roman"/>
          <w:szCs w:val="24"/>
        </w:rPr>
        <w:t xml:space="preserve"> on the merchant elite, </w:t>
      </w:r>
      <w:r>
        <w:rPr>
          <w:rFonts w:cs="Times New Roman"/>
          <w:szCs w:val="24"/>
        </w:rPr>
        <w:t xml:space="preserve">we </w:t>
      </w:r>
      <w:r w:rsidRPr="007678C3">
        <w:rPr>
          <w:rFonts w:cs="Times New Roman"/>
          <w:szCs w:val="24"/>
        </w:rPr>
        <w:t xml:space="preserve">include a broad spectrum of merchants. </w:t>
      </w:r>
      <w:r>
        <w:rPr>
          <w:rFonts w:cs="Times New Roman"/>
          <w:szCs w:val="24"/>
        </w:rPr>
        <w:t xml:space="preserve">Similarly, while Martin (1939, 139) distinguishes </w:t>
      </w:r>
      <w:r w:rsidRPr="007678C3">
        <w:rPr>
          <w:rFonts w:cs="Times New Roman"/>
          <w:szCs w:val="24"/>
        </w:rPr>
        <w:t>between wholesale merchants and retail merchants</w:t>
      </w:r>
      <w:r>
        <w:rPr>
          <w:rFonts w:cs="Times New Roman"/>
          <w:szCs w:val="24"/>
        </w:rPr>
        <w:t xml:space="preserve">, we </w:t>
      </w:r>
      <w:r w:rsidRPr="007678C3">
        <w:rPr>
          <w:rFonts w:cs="Times New Roman"/>
          <w:szCs w:val="24"/>
        </w:rPr>
        <w:t>do not make such a distinction since classifications of this sort did not prevent a merchant who generally sold wholesale from breaking up an entire shipload of goods f</w:t>
      </w:r>
      <w:r>
        <w:rPr>
          <w:rFonts w:cs="Times New Roman"/>
          <w:szCs w:val="24"/>
        </w:rPr>
        <w:t>or retail sale in smaller units.</w:t>
      </w:r>
      <w:r w:rsidRPr="007678C3">
        <w:rPr>
          <w:rFonts w:cs="Times New Roman"/>
          <w:position w:val="10"/>
          <w:szCs w:val="24"/>
          <w:vertAlign w:val="superscript"/>
        </w:rPr>
        <w:t xml:space="preserve"> </w:t>
      </w:r>
      <w:r w:rsidRPr="007678C3">
        <w:rPr>
          <w:rFonts w:cs="Times New Roman"/>
          <w:szCs w:val="24"/>
        </w:rPr>
        <w:t>Likewise</w:t>
      </w:r>
      <w:r>
        <w:rPr>
          <w:rFonts w:cs="Times New Roman"/>
          <w:szCs w:val="24"/>
        </w:rPr>
        <w:t>,</w:t>
      </w:r>
      <w:r w:rsidRPr="007678C3">
        <w:rPr>
          <w:rFonts w:cs="Times New Roman"/>
          <w:szCs w:val="24"/>
        </w:rPr>
        <w:t xml:space="preserve"> a retailer would not hesitate to sell a large amount of inventory to one individual. The account books themselves do not provide clear evidence on this score, as the activities are not mutually exclusive. </w:t>
      </w:r>
      <w:r>
        <w:rPr>
          <w:rFonts w:cs="Times New Roman"/>
          <w:szCs w:val="24"/>
        </w:rPr>
        <w:t xml:space="preserve">The records provide an accounting for commercial life in the era.  </w:t>
      </w:r>
    </w:p>
    <w:p w:rsidR="00956A52" w:rsidRPr="001419D7" w:rsidRDefault="00956A52" w:rsidP="00956A52">
      <w:pPr>
        <w:spacing w:after="0" w:line="480" w:lineRule="auto"/>
        <w:ind w:firstLine="720"/>
        <w:jc w:val="both"/>
        <w:rPr>
          <w:szCs w:val="24"/>
        </w:rPr>
      </w:pPr>
      <w:r>
        <w:rPr>
          <w:szCs w:val="24"/>
        </w:rPr>
        <w:t>Merchant</w:t>
      </w:r>
      <w:r w:rsidRPr="001419D7">
        <w:rPr>
          <w:szCs w:val="24"/>
        </w:rPr>
        <w:t xml:space="preserve"> account books </w:t>
      </w:r>
      <w:r>
        <w:rPr>
          <w:szCs w:val="24"/>
        </w:rPr>
        <w:t xml:space="preserve">in this study </w:t>
      </w:r>
      <w:r w:rsidRPr="001419D7">
        <w:rPr>
          <w:szCs w:val="24"/>
        </w:rPr>
        <w:t>are a mix of urban and rural accounts recording activity that occurred primarily within Massachusetts and Connecticut</w:t>
      </w:r>
      <w:r>
        <w:rPr>
          <w:szCs w:val="24"/>
        </w:rPr>
        <w:t xml:space="preserve"> during the eighteenth century</w:t>
      </w:r>
      <w:r w:rsidRPr="001419D7">
        <w:rPr>
          <w:szCs w:val="24"/>
        </w:rPr>
        <w:t xml:space="preserve">, though some books list transactions occurring near the border between colonies.  People from other colonies enter the account books when merchants traded overseas.  These merchants </w:t>
      </w:r>
      <w:r w:rsidRPr="001419D7">
        <w:rPr>
          <w:szCs w:val="24"/>
        </w:rPr>
        <w:lastRenderedPageBreak/>
        <w:t xml:space="preserve">both sent and received shipments, always reducing amounts into local (their home colony) </w:t>
      </w:r>
      <w:r w:rsidRPr="001419D7">
        <w:rPr>
          <w:rFonts w:cs="Times New Roman"/>
          <w:szCs w:val="24"/>
        </w:rPr>
        <w:t>£</w:t>
      </w:r>
      <w:r w:rsidRPr="001419D7">
        <w:rPr>
          <w:szCs w:val="24"/>
        </w:rPr>
        <w:t xml:space="preserve">.  </w:t>
      </w:r>
      <w:r w:rsidRPr="001419D7">
        <w:rPr>
          <w:rFonts w:cs="Times New Roman"/>
          <w:szCs w:val="24"/>
        </w:rPr>
        <w:t>While cash may not have been prominent in the economy</w:t>
      </w:r>
      <w:r w:rsidR="004C7998">
        <w:rPr>
          <w:rFonts w:cs="Times New Roman"/>
          <w:szCs w:val="24"/>
        </w:rPr>
        <w:t>,</w:t>
      </w:r>
      <w:r w:rsidRPr="001419D7">
        <w:rPr>
          <w:rFonts w:cs="Times New Roman"/>
          <w:szCs w:val="24"/>
        </w:rPr>
        <w:t xml:space="preserve"> the colonists recognized the efficiency of converting goods sales into currency units. The merchant then recorded the am</w:t>
      </w:r>
      <w:r w:rsidR="004C7998">
        <w:rPr>
          <w:rFonts w:cs="Times New Roman"/>
          <w:szCs w:val="24"/>
        </w:rPr>
        <w:t>ount of the purchase or payment</w:t>
      </w:r>
      <w:r w:rsidRPr="001419D7">
        <w:rPr>
          <w:rFonts w:cs="Times New Roman"/>
          <w:szCs w:val="24"/>
        </w:rPr>
        <w:t xml:space="preserve"> assessed in colony-specific £. Each colony had its own version of £ that fluctuated against sterling. The colonies were monetized in the sense that each used its own standard of value. Massachusetts, as the largest and most developed economy, set the pace for the rest of the region in terms of exchange in New England.</w:t>
      </w:r>
    </w:p>
    <w:p w:rsidR="00956A52" w:rsidRPr="001419D7" w:rsidRDefault="00956A52" w:rsidP="00956A52">
      <w:pPr>
        <w:spacing w:after="0" w:line="480" w:lineRule="auto"/>
        <w:ind w:firstLine="720"/>
        <w:jc w:val="both"/>
        <w:rPr>
          <w:szCs w:val="24"/>
        </w:rPr>
      </w:pPr>
      <w:r w:rsidRPr="001419D7">
        <w:rPr>
          <w:szCs w:val="24"/>
        </w:rPr>
        <w:t>Merchant account books primarily record exchanges where the merchant does not receive</w:t>
      </w:r>
      <w:r>
        <w:rPr>
          <w:szCs w:val="24"/>
        </w:rPr>
        <w:t xml:space="preserve"> </w:t>
      </w:r>
      <w:r w:rsidRPr="001419D7">
        <w:rPr>
          <w:szCs w:val="24"/>
        </w:rPr>
        <w:t xml:space="preserve">full contemporaneous consideration and the customer promises to pay the merchant in the future.  In some cases, the account books do record contemporaneous cash and barter sales, although these are usually believed to be unrecorded transactions since the customer had fully satisfied the obligation to the merchant.  </w:t>
      </w:r>
    </w:p>
    <w:p w:rsidR="00956A52" w:rsidRPr="001419D7" w:rsidRDefault="00956A52" w:rsidP="00956A52">
      <w:pPr>
        <w:spacing w:after="0" w:line="480" w:lineRule="auto"/>
        <w:ind w:firstLine="720"/>
        <w:jc w:val="both"/>
        <w:rPr>
          <w:szCs w:val="24"/>
        </w:rPr>
      </w:pPr>
      <w:r w:rsidRPr="001419D7">
        <w:rPr>
          <w:rFonts w:cs="Times New Roman"/>
          <w:szCs w:val="24"/>
        </w:rPr>
        <w:t xml:space="preserve">Generally, the account books provide dates for transactions as well as a listing of what took place. The listing can be very specific, listing quantity of goods and per unit prices as well as the method of repayment, or it can be vague, simply saying “credit” or nothing at all.  </w:t>
      </w:r>
      <w:r w:rsidRPr="001419D7">
        <w:rPr>
          <w:szCs w:val="24"/>
        </w:rPr>
        <w:t xml:space="preserve">Estimating the span of time covered by a book is difficult in some cases.  Some books record accounts by date and others by individual; the latter case makes determination of an end date for an account book difficult, though assessing the dealings between merchant and buyer is easier.  The </w:t>
      </w:r>
      <w:r w:rsidR="00786623">
        <w:rPr>
          <w:szCs w:val="24"/>
        </w:rPr>
        <w:t xml:space="preserve">fragile </w:t>
      </w:r>
      <w:r w:rsidRPr="001419D7">
        <w:rPr>
          <w:szCs w:val="24"/>
        </w:rPr>
        <w:t>condition of the books also makes statistical analysis challenging, especially in the cases where large parts of the book are missing.</w:t>
      </w:r>
    </w:p>
    <w:p w:rsidR="00956A52" w:rsidRPr="001419D7" w:rsidRDefault="00956A52" w:rsidP="00956A52">
      <w:pPr>
        <w:spacing w:after="0" w:line="480" w:lineRule="auto"/>
        <w:ind w:firstLine="720"/>
        <w:jc w:val="both"/>
        <w:rPr>
          <w:szCs w:val="24"/>
        </w:rPr>
      </w:pPr>
    </w:p>
    <w:p w:rsidR="00956A52" w:rsidRPr="003D5F48" w:rsidRDefault="00956A52" w:rsidP="003D5F48">
      <w:pPr>
        <w:pStyle w:val="Heading1"/>
        <w:spacing w:line="480" w:lineRule="auto"/>
        <w:jc w:val="both"/>
        <w:rPr>
          <w:b w:val="0"/>
          <w:i/>
          <w:sz w:val="24"/>
          <w:szCs w:val="24"/>
        </w:rPr>
      </w:pPr>
      <w:r w:rsidRPr="003D5F48">
        <w:rPr>
          <w:b w:val="0"/>
          <w:i/>
          <w:sz w:val="24"/>
          <w:szCs w:val="24"/>
        </w:rPr>
        <w:lastRenderedPageBreak/>
        <w:t>Account Book Entries</w:t>
      </w:r>
    </w:p>
    <w:p w:rsidR="00956A52" w:rsidRPr="001419D7" w:rsidRDefault="00956A52" w:rsidP="00956A52">
      <w:pPr>
        <w:spacing w:after="0" w:line="480" w:lineRule="auto"/>
        <w:jc w:val="both"/>
        <w:rPr>
          <w:szCs w:val="24"/>
        </w:rPr>
      </w:pPr>
      <w:r w:rsidRPr="001419D7">
        <w:rPr>
          <w:szCs w:val="24"/>
        </w:rPr>
        <w:t xml:space="preserve">Most merchants treated the account books in a way </w:t>
      </w:r>
      <w:r w:rsidR="006A2906" w:rsidRPr="001419D7">
        <w:rPr>
          <w:szCs w:val="24"/>
        </w:rPr>
        <w:t>like</w:t>
      </w:r>
      <w:r w:rsidRPr="001419D7">
        <w:rPr>
          <w:szCs w:val="24"/>
        </w:rPr>
        <w:t xml:space="preserve"> an Accounts Receivable subsidiary ledger </w:t>
      </w:r>
      <w:r w:rsidRPr="001419D7">
        <w:rPr>
          <w:rFonts w:cs="Arial"/>
          <w:szCs w:val="24"/>
        </w:rPr>
        <w:t>with the accounts for each separate individual occupying space on two facing pages.</w:t>
      </w:r>
      <w:r w:rsidRPr="001419D7">
        <w:rPr>
          <w:szCs w:val="24"/>
        </w:rPr>
        <w:t xml:space="preserve">  </w:t>
      </w:r>
      <w:r w:rsidRPr="001419D7">
        <w:rPr>
          <w:rFonts w:cs="Arial"/>
          <w:szCs w:val="24"/>
        </w:rPr>
        <w:t xml:space="preserve">Corresponding to modern convention, the merchant recorded debits </w:t>
      </w:r>
      <w:r w:rsidRPr="001419D7">
        <w:rPr>
          <w:szCs w:val="24"/>
        </w:rPr>
        <w:t xml:space="preserve">for sales to customers </w:t>
      </w:r>
      <w:r w:rsidRPr="001419D7">
        <w:rPr>
          <w:rFonts w:cs="Arial"/>
          <w:szCs w:val="24"/>
        </w:rPr>
        <w:t xml:space="preserve">to the account on the left page and credits for </w:t>
      </w:r>
      <w:r w:rsidRPr="001419D7">
        <w:rPr>
          <w:szCs w:val="24"/>
        </w:rPr>
        <w:t>payments made by customers</w:t>
      </w:r>
      <w:r w:rsidRPr="001419D7">
        <w:rPr>
          <w:rFonts w:cs="Arial"/>
          <w:szCs w:val="24"/>
        </w:rPr>
        <w:t xml:space="preserve"> on the right.  Most accounts had columns on the page for the date, a description of the exchange often including a per-unit price, and for the total amount.   </w:t>
      </w:r>
      <w:r w:rsidRPr="001419D7">
        <w:rPr>
          <w:szCs w:val="24"/>
        </w:rPr>
        <w:t xml:space="preserve">Account books usually identified the customer clearly, though some problems </w:t>
      </w:r>
      <w:r w:rsidR="004C7998">
        <w:rPr>
          <w:szCs w:val="24"/>
        </w:rPr>
        <w:t>exist</w:t>
      </w:r>
      <w:r w:rsidRPr="001419D7">
        <w:rPr>
          <w:szCs w:val="24"/>
        </w:rPr>
        <w:t xml:space="preserve">.  The merchant recorded the individual customer’s name directly above the accounts for the first sale, often on both the left and right leaves.  Successive sales and payments were added below earlier listings until no further space was available.  Further account activity forced the merchant to total the debits and the credits and transfer the account to a new page in the same book or a different one.  </w:t>
      </w:r>
    </w:p>
    <w:p w:rsidR="00956A52" w:rsidRPr="001419D7" w:rsidRDefault="00956A52" w:rsidP="00956A52">
      <w:pPr>
        <w:pStyle w:val="BodyTextIndent"/>
        <w:ind w:firstLine="0"/>
        <w:jc w:val="both"/>
        <w:rPr>
          <w:rFonts w:cs="Arial"/>
          <w:sz w:val="24"/>
          <w:szCs w:val="24"/>
        </w:rPr>
      </w:pPr>
    </w:p>
    <w:p w:rsidR="00956A52" w:rsidRPr="001419D7" w:rsidRDefault="00956A52" w:rsidP="00956A52">
      <w:pPr>
        <w:pStyle w:val="BodyTextIndent"/>
        <w:ind w:firstLine="0"/>
        <w:jc w:val="center"/>
        <w:rPr>
          <w:rFonts w:cs="Arial"/>
          <w:b/>
          <w:sz w:val="24"/>
          <w:szCs w:val="24"/>
        </w:rPr>
      </w:pPr>
      <w:r w:rsidRPr="001419D7">
        <w:rPr>
          <w:rFonts w:cs="Arial"/>
          <w:b/>
          <w:sz w:val="24"/>
          <w:szCs w:val="24"/>
        </w:rPr>
        <w:t>Figures 1 and 2 about here</w:t>
      </w:r>
    </w:p>
    <w:p w:rsidR="00956A52" w:rsidRPr="001419D7" w:rsidRDefault="00956A52" w:rsidP="00956A52">
      <w:pPr>
        <w:pStyle w:val="BodyTextIndent"/>
        <w:ind w:firstLine="0"/>
        <w:jc w:val="both"/>
        <w:rPr>
          <w:rFonts w:cs="Arial"/>
          <w:sz w:val="24"/>
          <w:szCs w:val="24"/>
        </w:rPr>
      </w:pPr>
    </w:p>
    <w:p w:rsidR="00956A52" w:rsidRDefault="00956A52" w:rsidP="00956A52">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Figure 1 is a reproduction of the account between Samuel Swan, the </w:t>
      </w:r>
      <w:r>
        <w:rPr>
          <w:rFonts w:cs="Times New Roman"/>
          <w:szCs w:val="24"/>
        </w:rPr>
        <w:t>customer</w:t>
      </w:r>
      <w:r w:rsidRPr="007678C3">
        <w:rPr>
          <w:rFonts w:cs="Times New Roman"/>
          <w:szCs w:val="24"/>
        </w:rPr>
        <w:t xml:space="preserve"> and Jonathan Parker, a Massachusetts merchant. The table is fashioned to display the account much the same way it appeared in the original account book</w:t>
      </w:r>
      <w:r>
        <w:rPr>
          <w:rFonts w:cs="Times New Roman"/>
          <w:szCs w:val="24"/>
        </w:rPr>
        <w:t>, with d</w:t>
      </w:r>
      <w:r w:rsidRPr="007678C3">
        <w:rPr>
          <w:rFonts w:cs="Times New Roman"/>
          <w:szCs w:val="24"/>
        </w:rPr>
        <w:t>ebits and credits recorded on two facing pages. Several individuals may be recorded on those two pages. The account book, methods</w:t>
      </w:r>
      <w:r>
        <w:rPr>
          <w:rFonts w:cs="Times New Roman"/>
          <w:szCs w:val="24"/>
        </w:rPr>
        <w:t>,</w:t>
      </w:r>
      <w:r w:rsidRPr="007678C3">
        <w:rPr>
          <w:rFonts w:cs="Times New Roman"/>
          <w:szCs w:val="24"/>
        </w:rPr>
        <w:t xml:space="preserve"> and practices of merchants will be discussed in more detail later. </w:t>
      </w:r>
      <w:r>
        <w:rPr>
          <w:rFonts w:cs="Times New Roman"/>
          <w:szCs w:val="24"/>
        </w:rPr>
        <w:t xml:space="preserve">  </w:t>
      </w:r>
      <w:r w:rsidRPr="007678C3">
        <w:rPr>
          <w:rFonts w:cs="Times New Roman"/>
          <w:szCs w:val="24"/>
        </w:rPr>
        <w:t xml:space="preserve">Swan made a purchase of cheese and two purchases of sugar on the dates shown in Figure 1. Each of these is interpreted as a separate loan, </w:t>
      </w:r>
      <w:r w:rsidRPr="007678C3">
        <w:rPr>
          <w:rFonts w:cs="Times New Roman"/>
          <w:szCs w:val="24"/>
        </w:rPr>
        <w:lastRenderedPageBreak/>
        <w:t>the total of all three being equal to £3</w:t>
      </w:r>
      <w:r>
        <w:rPr>
          <w:rFonts w:cs="Times New Roman"/>
          <w:szCs w:val="24"/>
        </w:rPr>
        <w:t>.8</w:t>
      </w:r>
      <w:r w:rsidRPr="007678C3">
        <w:rPr>
          <w:rFonts w:cs="Times New Roman"/>
          <w:szCs w:val="24"/>
        </w:rPr>
        <w:t>.</w:t>
      </w:r>
      <w:r>
        <w:rPr>
          <w:rStyle w:val="FootnoteReference"/>
          <w:szCs w:val="24"/>
        </w:rPr>
        <w:footnoteReference w:id="2"/>
      </w:r>
      <w:r w:rsidRPr="007678C3">
        <w:rPr>
          <w:rFonts w:cs="Times New Roman"/>
          <w:szCs w:val="24"/>
        </w:rPr>
        <w:t xml:space="preserve"> No payment was offered until five months after the third loan. Swan repaid his loans by “wiggs and shaving”, suggesting something about Swan’s profession, likely a wigmaker. The payment amount exceeded the total of the three loans, leaving Swan with a balance to draw down as he made further purchases, as recorded in Figure 1. </w:t>
      </w:r>
      <w:r>
        <w:rPr>
          <w:rFonts w:cs="Times New Roman"/>
          <w:szCs w:val="24"/>
        </w:rPr>
        <w:t xml:space="preserve">It is important to note that </w:t>
      </w:r>
      <w:r w:rsidRPr="007678C3">
        <w:rPr>
          <w:rFonts w:cs="Times New Roman"/>
          <w:szCs w:val="24"/>
        </w:rPr>
        <w:t xml:space="preserve">these are nominal quantities as recorded by the merchant. Readers familiar with the colonial finance will know that the standard of value fluctuated throughout the eighteenth century. This issue will be addressed later in the section discussing the data sources. </w:t>
      </w:r>
    </w:p>
    <w:p w:rsidR="00956A52" w:rsidRPr="001419D7" w:rsidRDefault="00956A52" w:rsidP="00956A52">
      <w:pPr>
        <w:spacing w:after="0" w:line="480" w:lineRule="auto"/>
        <w:ind w:firstLine="720"/>
        <w:jc w:val="both"/>
        <w:rPr>
          <w:szCs w:val="24"/>
        </w:rPr>
      </w:pPr>
      <w:r w:rsidRPr="001419D7">
        <w:rPr>
          <w:szCs w:val="24"/>
        </w:rPr>
        <w:t xml:space="preserve">The descriptions accompanying the sales and payments varied in the degree of detail, depending upon the merchant.  Figure 1 provides a good example of a well-kept account.  Each transaction entry contains an explanation of each sale and payment.  The sale on November 28, 1749 tells us the product, cheese, the amount, 12 ¾ lbs., and the price per pound, 4s. 3d (4.25s.).  Parker detailed the next two </w:t>
      </w:r>
      <w:r>
        <w:rPr>
          <w:szCs w:val="24"/>
        </w:rPr>
        <w:t>sal</w:t>
      </w:r>
      <w:r w:rsidRPr="001419D7">
        <w:rPr>
          <w:szCs w:val="24"/>
        </w:rPr>
        <w:t xml:space="preserve">e entries, for sugar, similarly.  Parker received “wiggs and shaving” from Swan, though the accounts do not tell us </w:t>
      </w:r>
      <w:r w:rsidR="00786623">
        <w:rPr>
          <w:szCs w:val="24"/>
        </w:rPr>
        <w:t>the quantity</w:t>
      </w:r>
      <w:r w:rsidRPr="001419D7">
        <w:rPr>
          <w:szCs w:val="24"/>
        </w:rPr>
        <w:t xml:space="preserve">.  The remaining debits in Figure 1 are for </w:t>
      </w:r>
      <w:r>
        <w:rPr>
          <w:szCs w:val="24"/>
        </w:rPr>
        <w:t xml:space="preserve">sales of </w:t>
      </w:r>
      <w:r w:rsidRPr="001419D7">
        <w:rPr>
          <w:szCs w:val="24"/>
        </w:rPr>
        <w:t xml:space="preserve">earthenware, but none consumed by Swan.  These entries are an example of </w:t>
      </w:r>
      <w:r>
        <w:rPr>
          <w:szCs w:val="24"/>
        </w:rPr>
        <w:t xml:space="preserve">a triangular transfer of credit (see Baxter, 1945): </w:t>
      </w:r>
      <w:r w:rsidRPr="001419D7">
        <w:rPr>
          <w:szCs w:val="24"/>
        </w:rPr>
        <w:t xml:space="preserve">Swan satisfied a debt owed Mr. Blair by ordering Parker to provide Blair with earthenware, using his surplus account with Parker to satisfy a debt elsewhere.  When the activity involves a </w:t>
      </w:r>
      <w:r w:rsidR="00702BC3">
        <w:rPr>
          <w:szCs w:val="24"/>
        </w:rPr>
        <w:t>third-party</w:t>
      </w:r>
      <w:r w:rsidRPr="001419D7">
        <w:rPr>
          <w:szCs w:val="24"/>
        </w:rPr>
        <w:t xml:space="preserve">, such as the debit entry dated 7/27/1750, the account names the </w:t>
      </w:r>
      <w:r w:rsidR="00702BC3">
        <w:rPr>
          <w:szCs w:val="24"/>
        </w:rPr>
        <w:t>third-party</w:t>
      </w:r>
      <w:r w:rsidRPr="001419D7">
        <w:rPr>
          <w:szCs w:val="24"/>
        </w:rPr>
        <w:t xml:space="preserve">.  </w:t>
      </w:r>
    </w:p>
    <w:p w:rsidR="00956A52" w:rsidRPr="007678C3" w:rsidRDefault="00956A52" w:rsidP="00956A52">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Figure 2 provides similar information to the first. No payment was offered at the time when </w:t>
      </w:r>
      <w:r>
        <w:rPr>
          <w:rFonts w:cs="Times New Roman"/>
          <w:szCs w:val="24"/>
        </w:rPr>
        <w:t xml:space="preserve">the merchant Parker sold </w:t>
      </w:r>
      <w:r w:rsidRPr="007678C3">
        <w:rPr>
          <w:rFonts w:cs="Times New Roman"/>
          <w:szCs w:val="24"/>
        </w:rPr>
        <w:t xml:space="preserve">the </w:t>
      </w:r>
      <w:r>
        <w:rPr>
          <w:rFonts w:cs="Times New Roman"/>
          <w:szCs w:val="24"/>
        </w:rPr>
        <w:t>customer</w:t>
      </w:r>
      <w:r w:rsidRPr="007678C3">
        <w:rPr>
          <w:rFonts w:cs="Times New Roman"/>
          <w:szCs w:val="24"/>
        </w:rPr>
        <w:t xml:space="preserve"> Davins one thousand staves. Parker made an entry in the account book for a deb</w:t>
      </w:r>
      <w:r>
        <w:rPr>
          <w:rFonts w:cs="Times New Roman"/>
          <w:szCs w:val="24"/>
        </w:rPr>
        <w:t>i</w:t>
      </w:r>
      <w:r w:rsidRPr="007678C3">
        <w:rPr>
          <w:rFonts w:cs="Times New Roman"/>
          <w:szCs w:val="24"/>
        </w:rPr>
        <w:t xml:space="preserve">t of £4, that is, Parker </w:t>
      </w:r>
      <w:r>
        <w:rPr>
          <w:rFonts w:cs="Times New Roman"/>
          <w:szCs w:val="24"/>
        </w:rPr>
        <w:t xml:space="preserve">extended credit of </w:t>
      </w:r>
      <w:r w:rsidRPr="007678C3">
        <w:rPr>
          <w:rFonts w:cs="Times New Roman"/>
          <w:szCs w:val="24"/>
        </w:rPr>
        <w:t xml:space="preserve">£4 to Davins. The next event is a </w:t>
      </w:r>
      <w:r w:rsidRPr="007678C3">
        <w:rPr>
          <w:rFonts w:cs="Times New Roman"/>
          <w:szCs w:val="24"/>
        </w:rPr>
        <w:lastRenderedPageBreak/>
        <w:t xml:space="preserve">partial payment by Davins, comprised of chocolate to a </w:t>
      </w:r>
      <w:r w:rsidR="00702BC3">
        <w:rPr>
          <w:rFonts w:cs="Times New Roman"/>
          <w:szCs w:val="24"/>
        </w:rPr>
        <w:t>third-party</w:t>
      </w:r>
      <w:r w:rsidRPr="007678C3">
        <w:rPr>
          <w:rFonts w:cs="Times New Roman"/>
          <w:szCs w:val="24"/>
        </w:rPr>
        <w:t>, for £</w:t>
      </w:r>
      <w:r>
        <w:rPr>
          <w:rFonts w:cs="Times New Roman"/>
          <w:szCs w:val="24"/>
        </w:rPr>
        <w:t>0.24</w:t>
      </w:r>
      <w:r w:rsidRPr="007678C3">
        <w:rPr>
          <w:rFonts w:cs="Times New Roman"/>
          <w:szCs w:val="24"/>
        </w:rPr>
        <w:t xml:space="preserve">. From this point on the picture is less clear because Parker did not record the dates of the later payments, a common omission. Clearly Parker received two further payments and made two further </w:t>
      </w:r>
      <w:r>
        <w:rPr>
          <w:rFonts w:cs="Times New Roman"/>
          <w:szCs w:val="24"/>
        </w:rPr>
        <w:t>sale</w:t>
      </w:r>
      <w:r w:rsidRPr="007678C3">
        <w:rPr>
          <w:rFonts w:cs="Times New Roman"/>
          <w:szCs w:val="24"/>
        </w:rPr>
        <w:t xml:space="preserve">s. Note that Davins ended up paying back more than he borrowed, but there is no mention of interest in the accounts. </w:t>
      </w:r>
    </w:p>
    <w:p w:rsidR="00956A52" w:rsidRPr="001419D7" w:rsidRDefault="00956A52" w:rsidP="00956A52">
      <w:pPr>
        <w:spacing w:after="0" w:line="480" w:lineRule="auto"/>
        <w:ind w:firstLine="720"/>
        <w:jc w:val="both"/>
        <w:rPr>
          <w:szCs w:val="24"/>
        </w:rPr>
      </w:pPr>
      <w:r w:rsidRPr="001419D7">
        <w:rPr>
          <w:szCs w:val="24"/>
        </w:rPr>
        <w:t xml:space="preserve">The events recorded in Figure 2 show a similar level of detail and </w:t>
      </w:r>
      <w:r w:rsidR="00702BC3">
        <w:rPr>
          <w:szCs w:val="24"/>
        </w:rPr>
        <w:t>third-party</w:t>
      </w:r>
      <w:r w:rsidRPr="001419D7">
        <w:rPr>
          <w:szCs w:val="24"/>
        </w:rPr>
        <w:t xml:space="preserve"> activity.  The first credit to </w:t>
      </w:r>
      <w:r>
        <w:rPr>
          <w:szCs w:val="24"/>
        </w:rPr>
        <w:t>the custome</w:t>
      </w:r>
      <w:r w:rsidRPr="001419D7">
        <w:rPr>
          <w:szCs w:val="24"/>
        </w:rPr>
        <w:t>r Davins</w:t>
      </w:r>
      <w:r>
        <w:rPr>
          <w:szCs w:val="24"/>
        </w:rPr>
        <w:t>’</w:t>
      </w:r>
      <w:r w:rsidRPr="001419D7">
        <w:rPr>
          <w:szCs w:val="24"/>
        </w:rPr>
        <w:t xml:space="preserve"> account records a payment made in chocolate to another individual named Standly, not to Parker.  Parker likely told Davins to make the payment to Standly to settle a debt owed by Parker.  These activities, and the ability to record them, lowered the required number of exchanges necessary to satisfy outstanding debts.</w:t>
      </w:r>
    </w:p>
    <w:p w:rsidR="00956A52" w:rsidRPr="001419D7" w:rsidRDefault="00956A52" w:rsidP="00956A52">
      <w:pPr>
        <w:spacing w:after="0" w:line="480" w:lineRule="auto"/>
        <w:ind w:firstLine="720"/>
        <w:jc w:val="both"/>
        <w:rPr>
          <w:rFonts w:cs="Arial"/>
          <w:szCs w:val="24"/>
        </w:rPr>
      </w:pPr>
      <w:r w:rsidRPr="001419D7">
        <w:rPr>
          <w:szCs w:val="24"/>
        </w:rPr>
        <w:t xml:space="preserve">Unfortunately, merchants </w:t>
      </w:r>
      <w:r>
        <w:rPr>
          <w:szCs w:val="24"/>
        </w:rPr>
        <w:t xml:space="preserve">did not always </w:t>
      </w:r>
      <w:r w:rsidRPr="001419D7">
        <w:rPr>
          <w:szCs w:val="24"/>
        </w:rPr>
        <w:t xml:space="preserve">concern themselves with precise bookkeeping.  </w:t>
      </w:r>
      <w:r w:rsidRPr="001419D7">
        <w:rPr>
          <w:rFonts w:cs="Arial"/>
          <w:szCs w:val="24"/>
        </w:rPr>
        <w:t>The inconsistency of merchant recording practices is evident in Figures 1 and 2</w:t>
      </w:r>
      <w:r>
        <w:rPr>
          <w:rFonts w:cs="Arial"/>
          <w:szCs w:val="24"/>
        </w:rPr>
        <w:t xml:space="preserve"> where</w:t>
      </w:r>
      <w:r w:rsidRPr="001419D7">
        <w:rPr>
          <w:rFonts w:cs="Arial"/>
          <w:szCs w:val="24"/>
        </w:rPr>
        <w:t xml:space="preserve"> Parker recorded exact dates for </w:t>
      </w:r>
      <w:r>
        <w:rPr>
          <w:rFonts w:cs="Arial"/>
          <w:szCs w:val="24"/>
        </w:rPr>
        <w:t>transactions</w:t>
      </w:r>
      <w:r w:rsidRPr="001419D7">
        <w:rPr>
          <w:rFonts w:cs="Arial"/>
          <w:szCs w:val="24"/>
        </w:rPr>
        <w:t xml:space="preserve"> in Figure 1</w:t>
      </w:r>
      <w:r>
        <w:rPr>
          <w:rFonts w:cs="Arial"/>
          <w:szCs w:val="24"/>
        </w:rPr>
        <w:t xml:space="preserve"> but used a </w:t>
      </w:r>
      <w:r w:rsidRPr="001419D7">
        <w:rPr>
          <w:rFonts w:cs="Arial"/>
          <w:szCs w:val="24"/>
        </w:rPr>
        <w:t>mix of exact dates, month-year recording, and failing to enter the date for two events</w:t>
      </w:r>
      <w:r>
        <w:rPr>
          <w:rFonts w:cs="Arial"/>
          <w:szCs w:val="24"/>
        </w:rPr>
        <w:t xml:space="preserve"> in Figure 2</w:t>
      </w:r>
      <w:r w:rsidRPr="001419D7">
        <w:rPr>
          <w:rFonts w:cs="Arial"/>
          <w:szCs w:val="24"/>
        </w:rPr>
        <w:t>.</w:t>
      </w:r>
      <w:r w:rsidRPr="001419D7">
        <w:rPr>
          <w:rStyle w:val="FootnoteReference"/>
          <w:rFonts w:cs="Arial"/>
          <w:szCs w:val="24"/>
        </w:rPr>
        <w:footnoteReference w:id="3"/>
      </w:r>
      <w:r w:rsidRPr="001419D7">
        <w:rPr>
          <w:rFonts w:cs="Arial"/>
          <w:szCs w:val="24"/>
        </w:rPr>
        <w:t xml:space="preserve">  </w:t>
      </w:r>
    </w:p>
    <w:p w:rsidR="00956A52" w:rsidRDefault="00956A52" w:rsidP="00956A52">
      <w:pPr>
        <w:autoSpaceDE w:val="0"/>
        <w:autoSpaceDN w:val="0"/>
        <w:adjustRightInd w:val="0"/>
        <w:spacing w:after="0" w:line="480" w:lineRule="auto"/>
        <w:ind w:firstLine="720"/>
        <w:jc w:val="both"/>
      </w:pPr>
      <w:r w:rsidRPr="001419D7">
        <w:rPr>
          <w:rFonts w:cs="Times New Roman"/>
          <w:szCs w:val="24"/>
        </w:rPr>
        <w:t>Occasionally merchants would perform a summation of t</w:t>
      </w:r>
      <w:r w:rsidR="004C7998">
        <w:rPr>
          <w:rFonts w:cs="Times New Roman"/>
          <w:szCs w:val="24"/>
        </w:rPr>
        <w:t xml:space="preserve">he account. Called “reckoning”; </w:t>
      </w:r>
      <w:r w:rsidRPr="001419D7">
        <w:rPr>
          <w:rFonts w:cs="Times New Roman"/>
          <w:szCs w:val="24"/>
        </w:rPr>
        <w:t>it provides insight into more than just what the account book records. If the customer w</w:t>
      </w:r>
      <w:r>
        <w:rPr>
          <w:rFonts w:cs="Times New Roman"/>
          <w:szCs w:val="24"/>
        </w:rPr>
        <w:t>ere</w:t>
      </w:r>
      <w:r w:rsidRPr="001419D7">
        <w:rPr>
          <w:rFonts w:cs="Times New Roman"/>
          <w:szCs w:val="24"/>
        </w:rPr>
        <w:t xml:space="preserve"> another merchant</w:t>
      </w:r>
      <w:r>
        <w:rPr>
          <w:rFonts w:cs="Times New Roman"/>
          <w:szCs w:val="24"/>
        </w:rPr>
        <w:t>,</w:t>
      </w:r>
      <w:r w:rsidRPr="001419D7">
        <w:rPr>
          <w:rFonts w:cs="Times New Roman"/>
          <w:szCs w:val="24"/>
        </w:rPr>
        <w:t xml:space="preserve"> the reckoning would </w:t>
      </w:r>
      <w:r w:rsidR="00901BE2" w:rsidRPr="001419D7">
        <w:rPr>
          <w:rFonts w:cs="Times New Roman"/>
          <w:szCs w:val="24"/>
        </w:rPr>
        <w:t>consider</w:t>
      </w:r>
      <w:r w:rsidRPr="001419D7">
        <w:rPr>
          <w:rFonts w:cs="Times New Roman"/>
          <w:szCs w:val="24"/>
        </w:rPr>
        <w:t xml:space="preserve"> anything listed in the other’s account book. </w:t>
      </w:r>
      <w:r>
        <w:rPr>
          <w:rFonts w:cs="Times New Roman"/>
          <w:szCs w:val="24"/>
        </w:rPr>
        <w:t xml:space="preserve"> </w:t>
      </w:r>
      <w:r>
        <w:t xml:space="preserve">Merchants made purchases from each other and used book credit just like their customers; there was no need for cash, goods, or other instruments to be used in exchange.  After some </w:t>
      </w:r>
      <w:r w:rsidR="00901BE2">
        <w:t>period</w:t>
      </w:r>
      <w:r>
        <w:t xml:space="preserve">, the merchants totaled debits and credits to arrive at the net amount owed on the account.  They would then compare the amounts each owed the other arriving at the net amount between them.  At that time a payment could be offered to balance the account, or the merchants used the amount as a starting </w:t>
      </w:r>
      <w:r>
        <w:lastRenderedPageBreak/>
        <w:t xml:space="preserve">point and continued as before.  Reckoning allowed merchants to focus their resources in other areas such as imports, investments, or capital expenditures and thus increased the productivity of business and the overall economy. </w:t>
      </w:r>
    </w:p>
    <w:p w:rsidR="00EF6BD1" w:rsidRDefault="00EF6BD1" w:rsidP="00956A52">
      <w:pPr>
        <w:keepNext/>
        <w:widowControl w:val="0"/>
        <w:spacing w:after="0" w:line="480" w:lineRule="auto"/>
        <w:jc w:val="both"/>
        <w:rPr>
          <w:b/>
        </w:rPr>
      </w:pPr>
    </w:p>
    <w:p w:rsidR="00956A52" w:rsidRPr="00FF4C5A" w:rsidRDefault="00956A52" w:rsidP="00956A52">
      <w:pPr>
        <w:keepNext/>
        <w:widowControl w:val="0"/>
        <w:spacing w:after="0" w:line="480" w:lineRule="auto"/>
        <w:jc w:val="both"/>
        <w:rPr>
          <w:b/>
        </w:rPr>
      </w:pPr>
      <w:r w:rsidRPr="00FF4C5A">
        <w:rPr>
          <w:b/>
        </w:rPr>
        <w:t>Data</w:t>
      </w:r>
    </w:p>
    <w:p w:rsidR="00956A52" w:rsidRPr="007678C3" w:rsidRDefault="00956A52" w:rsidP="00956A52">
      <w:pPr>
        <w:spacing w:after="0" w:line="480" w:lineRule="auto"/>
        <w:jc w:val="both"/>
        <w:rPr>
          <w:rFonts w:cs="Times New Roman"/>
          <w:szCs w:val="24"/>
        </w:rPr>
      </w:pPr>
      <w:r>
        <w:t xml:space="preserve">The data are a sample of </w:t>
      </w:r>
      <w:r w:rsidR="0041713F">
        <w:t>56</w:t>
      </w:r>
      <w:r>
        <w:t xml:space="preserve"> separate account books from New England merchants, gathered from manuscript collections in Massachusetts and Connecticut historical societies</w:t>
      </w:r>
      <w:r w:rsidRPr="007678C3">
        <w:rPr>
          <w:rFonts w:cs="Times New Roman"/>
          <w:szCs w:val="24"/>
        </w:rPr>
        <w:t>.</w:t>
      </w:r>
      <w:r>
        <w:rPr>
          <w:rStyle w:val="FootnoteReference"/>
          <w:szCs w:val="24"/>
        </w:rPr>
        <w:footnoteReference w:id="4"/>
      </w:r>
      <w:r>
        <w:rPr>
          <w:rFonts w:cs="Times New Roman"/>
          <w:szCs w:val="24"/>
        </w:rPr>
        <w:t xml:space="preserve"> </w:t>
      </w:r>
      <w:r w:rsidRPr="007678C3">
        <w:rPr>
          <w:rFonts w:cs="Times New Roman"/>
          <w:szCs w:val="24"/>
        </w:rPr>
        <w:t>The data set is composed of 9,6</w:t>
      </w:r>
      <w:r>
        <w:rPr>
          <w:rFonts w:cs="Times New Roman"/>
          <w:szCs w:val="24"/>
        </w:rPr>
        <w:t>37</w:t>
      </w:r>
      <w:r w:rsidRPr="007678C3">
        <w:rPr>
          <w:rFonts w:cs="Times New Roman"/>
          <w:szCs w:val="24"/>
        </w:rPr>
        <w:t xml:space="preserve"> </w:t>
      </w:r>
      <w:r>
        <w:rPr>
          <w:rFonts w:cs="Times New Roman"/>
          <w:szCs w:val="24"/>
        </w:rPr>
        <w:t>recorded sales</w:t>
      </w:r>
      <w:r w:rsidRPr="007678C3">
        <w:rPr>
          <w:rFonts w:cs="Times New Roman"/>
          <w:szCs w:val="24"/>
        </w:rPr>
        <w:t xml:space="preserve"> with 4,</w:t>
      </w:r>
      <w:r>
        <w:rPr>
          <w:rFonts w:cs="Times New Roman"/>
          <w:szCs w:val="24"/>
        </w:rPr>
        <w:t>299</w:t>
      </w:r>
      <w:r w:rsidRPr="007678C3">
        <w:rPr>
          <w:rFonts w:cs="Times New Roman"/>
          <w:szCs w:val="24"/>
        </w:rPr>
        <w:t xml:space="preserve"> </w:t>
      </w:r>
      <w:r>
        <w:rPr>
          <w:rFonts w:cs="Times New Roman"/>
          <w:szCs w:val="24"/>
        </w:rPr>
        <w:t>recorded re</w:t>
      </w:r>
      <w:r w:rsidRPr="007678C3">
        <w:rPr>
          <w:rFonts w:cs="Times New Roman"/>
          <w:szCs w:val="24"/>
        </w:rPr>
        <w:t>payments</w:t>
      </w:r>
      <w:r>
        <w:rPr>
          <w:rFonts w:cs="Times New Roman"/>
          <w:szCs w:val="24"/>
        </w:rPr>
        <w:t xml:space="preserve"> for 13,936 total recorded observations</w:t>
      </w:r>
      <w:r w:rsidRPr="007678C3">
        <w:rPr>
          <w:rFonts w:cs="Times New Roman"/>
          <w:szCs w:val="24"/>
        </w:rPr>
        <w:t xml:space="preserve">. </w:t>
      </w:r>
    </w:p>
    <w:p w:rsidR="00956A52" w:rsidRDefault="00956A52" w:rsidP="00956A52">
      <w:pPr>
        <w:spacing w:after="0" w:line="480" w:lineRule="auto"/>
        <w:ind w:firstLine="720"/>
        <w:jc w:val="both"/>
        <w:rPr>
          <w:rFonts w:cs="Times New Roman"/>
          <w:szCs w:val="24"/>
        </w:rPr>
      </w:pPr>
    </w:p>
    <w:p w:rsidR="00956A52" w:rsidRPr="003D5F48" w:rsidRDefault="00956A52" w:rsidP="00956A52">
      <w:pPr>
        <w:keepNext/>
        <w:widowControl w:val="0"/>
        <w:spacing w:after="0" w:line="480" w:lineRule="auto"/>
        <w:jc w:val="both"/>
        <w:rPr>
          <w:i/>
        </w:rPr>
      </w:pPr>
      <w:r w:rsidRPr="003D5F48">
        <w:rPr>
          <w:i/>
        </w:rPr>
        <w:t>Recorded Sales</w:t>
      </w:r>
    </w:p>
    <w:p w:rsidR="00956A52" w:rsidRDefault="00956A52" w:rsidP="00956A52">
      <w:pPr>
        <w:spacing w:after="0" w:line="480" w:lineRule="auto"/>
        <w:jc w:val="both"/>
        <w:rPr>
          <w:rFonts w:cs="Times New Roman"/>
          <w:szCs w:val="24"/>
        </w:rPr>
      </w:pPr>
      <w:r>
        <w:rPr>
          <w:rFonts w:cs="Times New Roman"/>
          <w:szCs w:val="24"/>
        </w:rPr>
        <w:t xml:space="preserve">We </w:t>
      </w:r>
      <w:r w:rsidRPr="007678C3">
        <w:rPr>
          <w:rFonts w:cs="Times New Roman"/>
          <w:szCs w:val="24"/>
        </w:rPr>
        <w:t xml:space="preserve">divide </w:t>
      </w:r>
      <w:r>
        <w:rPr>
          <w:rFonts w:cs="Times New Roman"/>
          <w:szCs w:val="24"/>
        </w:rPr>
        <w:t xml:space="preserve">sales </w:t>
      </w:r>
      <w:r w:rsidRPr="007678C3">
        <w:rPr>
          <w:rFonts w:cs="Times New Roman"/>
          <w:szCs w:val="24"/>
        </w:rPr>
        <w:t xml:space="preserve">into </w:t>
      </w:r>
      <w:r>
        <w:rPr>
          <w:rFonts w:cs="Times New Roman"/>
          <w:szCs w:val="24"/>
        </w:rPr>
        <w:t>categories consistent with the literature</w:t>
      </w:r>
      <w:r w:rsidRPr="007678C3">
        <w:rPr>
          <w:rFonts w:cs="Times New Roman"/>
          <w:szCs w:val="24"/>
        </w:rPr>
        <w:t xml:space="preserve">. There are two aspects considered to distinguish between types of </w:t>
      </w:r>
      <w:r>
        <w:rPr>
          <w:rFonts w:cs="Times New Roman"/>
          <w:szCs w:val="24"/>
        </w:rPr>
        <w:t>sales: W</w:t>
      </w:r>
      <w:r w:rsidRPr="007678C3">
        <w:rPr>
          <w:rFonts w:cs="Times New Roman"/>
          <w:szCs w:val="24"/>
        </w:rPr>
        <w:t xml:space="preserve">hen </w:t>
      </w:r>
      <w:r>
        <w:rPr>
          <w:rFonts w:cs="Times New Roman"/>
          <w:szCs w:val="24"/>
        </w:rPr>
        <w:t xml:space="preserve">was </w:t>
      </w:r>
      <w:r w:rsidRPr="007678C3">
        <w:rPr>
          <w:rFonts w:cs="Times New Roman"/>
          <w:szCs w:val="24"/>
        </w:rPr>
        <w:t xml:space="preserve">payment offered and what was offered as payment? </w:t>
      </w:r>
      <w:r>
        <w:rPr>
          <w:rFonts w:cs="Times New Roman"/>
          <w:szCs w:val="24"/>
        </w:rPr>
        <w:t>Our</w:t>
      </w:r>
      <w:r w:rsidRPr="007678C3">
        <w:rPr>
          <w:rFonts w:cs="Times New Roman"/>
          <w:szCs w:val="24"/>
        </w:rPr>
        <w:t xml:space="preserve"> research includes three </w:t>
      </w:r>
      <w:r>
        <w:rPr>
          <w:rFonts w:cs="Times New Roman"/>
          <w:szCs w:val="24"/>
        </w:rPr>
        <w:t>categories for recording a sale</w:t>
      </w:r>
      <w:r w:rsidRPr="007678C3">
        <w:rPr>
          <w:rFonts w:cs="Times New Roman"/>
          <w:szCs w:val="24"/>
        </w:rPr>
        <w:t>: credit, cash</w:t>
      </w:r>
      <w:r>
        <w:rPr>
          <w:rFonts w:cs="Times New Roman"/>
          <w:szCs w:val="24"/>
        </w:rPr>
        <w:t>,</w:t>
      </w:r>
      <w:r w:rsidRPr="007678C3">
        <w:rPr>
          <w:rFonts w:cs="Times New Roman"/>
          <w:szCs w:val="24"/>
        </w:rPr>
        <w:t xml:space="preserve"> and barter. If no payment w</w:t>
      </w:r>
      <w:r>
        <w:rPr>
          <w:rFonts w:cs="Times New Roman"/>
          <w:szCs w:val="24"/>
        </w:rPr>
        <w:t>ere</w:t>
      </w:r>
      <w:r w:rsidRPr="007678C3">
        <w:rPr>
          <w:rFonts w:cs="Times New Roman"/>
          <w:szCs w:val="24"/>
        </w:rPr>
        <w:t xml:space="preserve"> offered at the time of </w:t>
      </w:r>
      <w:r>
        <w:rPr>
          <w:rFonts w:cs="Times New Roman"/>
          <w:szCs w:val="24"/>
        </w:rPr>
        <w:t>sale</w:t>
      </w:r>
      <w:r w:rsidRPr="007678C3">
        <w:rPr>
          <w:rFonts w:cs="Times New Roman"/>
          <w:szCs w:val="24"/>
        </w:rPr>
        <w:t xml:space="preserve">, </w:t>
      </w:r>
      <w:r>
        <w:rPr>
          <w:rFonts w:cs="Times New Roman"/>
          <w:szCs w:val="24"/>
        </w:rPr>
        <w:t xml:space="preserve">the merchant recorded the sale </w:t>
      </w:r>
      <w:r w:rsidRPr="007678C3">
        <w:rPr>
          <w:rFonts w:cs="Times New Roman"/>
          <w:szCs w:val="24"/>
        </w:rPr>
        <w:t xml:space="preserve">on credit. A current payment was either cash or barter, depending on what was offered in exchange. </w:t>
      </w:r>
      <w:r>
        <w:rPr>
          <w:rFonts w:cs="Times New Roman"/>
          <w:szCs w:val="24"/>
        </w:rPr>
        <w:t>While c</w:t>
      </w:r>
      <w:r w:rsidRPr="007678C3">
        <w:rPr>
          <w:rFonts w:cs="Times New Roman"/>
          <w:szCs w:val="24"/>
        </w:rPr>
        <w:t xml:space="preserve">ash is a broad </w:t>
      </w:r>
      <w:r>
        <w:rPr>
          <w:rFonts w:cs="Times New Roman"/>
          <w:szCs w:val="24"/>
        </w:rPr>
        <w:t xml:space="preserve">category </w:t>
      </w:r>
      <w:r w:rsidRPr="007678C3">
        <w:rPr>
          <w:rFonts w:cs="Times New Roman"/>
          <w:szCs w:val="24"/>
        </w:rPr>
        <w:t xml:space="preserve">including government paper notes, personal paper notes and specie, barter transactions involve goods offered </w:t>
      </w:r>
      <w:r>
        <w:rPr>
          <w:rFonts w:cs="Times New Roman"/>
          <w:szCs w:val="24"/>
        </w:rPr>
        <w:t xml:space="preserve">simultaneously </w:t>
      </w:r>
      <w:r w:rsidRPr="007678C3">
        <w:rPr>
          <w:rFonts w:cs="Times New Roman"/>
          <w:szCs w:val="24"/>
        </w:rPr>
        <w:t xml:space="preserve">as payment. </w:t>
      </w:r>
    </w:p>
    <w:p w:rsidR="00956A52" w:rsidRDefault="00956A52" w:rsidP="00956A52">
      <w:pPr>
        <w:spacing w:after="0" w:line="480" w:lineRule="auto"/>
        <w:jc w:val="both"/>
        <w:rPr>
          <w:rFonts w:cs="Times New Roman"/>
          <w:szCs w:val="24"/>
        </w:rPr>
      </w:pPr>
    </w:p>
    <w:p w:rsidR="00956A52" w:rsidRPr="00FC692B" w:rsidRDefault="00956A52" w:rsidP="00956A52">
      <w:pPr>
        <w:spacing w:after="0" w:line="480" w:lineRule="auto"/>
        <w:jc w:val="center"/>
        <w:rPr>
          <w:rFonts w:cs="Times New Roman"/>
          <w:b/>
          <w:szCs w:val="24"/>
        </w:rPr>
      </w:pPr>
      <w:r w:rsidRPr="00FC692B">
        <w:rPr>
          <w:rFonts w:cs="Times New Roman"/>
          <w:b/>
          <w:szCs w:val="24"/>
        </w:rPr>
        <w:t>Table 1 about here</w:t>
      </w:r>
    </w:p>
    <w:p w:rsidR="00956A52" w:rsidRDefault="00956A52" w:rsidP="00956A52">
      <w:pPr>
        <w:spacing w:after="0" w:line="480" w:lineRule="auto"/>
        <w:jc w:val="both"/>
        <w:rPr>
          <w:rFonts w:cs="Times New Roman"/>
          <w:szCs w:val="24"/>
        </w:rPr>
      </w:pPr>
    </w:p>
    <w:p w:rsidR="00956A52" w:rsidRDefault="00956A52" w:rsidP="00956A52">
      <w:pPr>
        <w:spacing w:after="0" w:line="480" w:lineRule="auto"/>
        <w:jc w:val="both"/>
        <w:rPr>
          <w:rFonts w:cs="Times New Roman"/>
          <w:szCs w:val="24"/>
        </w:rPr>
      </w:pPr>
      <w:r>
        <w:lastRenderedPageBreak/>
        <w:t xml:space="preserve">Table 1 presents the number of recorded sales and relative frequencies from the account book data.  </w:t>
      </w:r>
      <w:r w:rsidRPr="007678C3">
        <w:rPr>
          <w:rFonts w:cs="Times New Roman"/>
          <w:szCs w:val="24"/>
        </w:rPr>
        <w:t xml:space="preserve">Almost </w:t>
      </w:r>
      <w:r w:rsidR="00901BE2" w:rsidRPr="007678C3">
        <w:rPr>
          <w:rFonts w:cs="Times New Roman"/>
          <w:szCs w:val="24"/>
        </w:rPr>
        <w:t>all</w:t>
      </w:r>
      <w:r w:rsidRPr="007678C3">
        <w:rPr>
          <w:rFonts w:cs="Times New Roman"/>
          <w:szCs w:val="24"/>
        </w:rPr>
        <w:t xml:space="preserve"> these </w:t>
      </w:r>
      <w:r>
        <w:rPr>
          <w:rFonts w:cs="Times New Roman"/>
          <w:szCs w:val="24"/>
        </w:rPr>
        <w:t>sal</w:t>
      </w:r>
      <w:r w:rsidRPr="007678C3">
        <w:rPr>
          <w:rFonts w:cs="Times New Roman"/>
          <w:szCs w:val="24"/>
        </w:rPr>
        <w:t xml:space="preserve">es, 98.6% in Connecticut and 98.5% in Massachusetts, were </w:t>
      </w:r>
      <w:r>
        <w:rPr>
          <w:rFonts w:cs="Times New Roman"/>
          <w:szCs w:val="24"/>
        </w:rPr>
        <w:t>on book credit</w:t>
      </w:r>
      <w:r w:rsidRPr="007678C3">
        <w:rPr>
          <w:rFonts w:cs="Times New Roman"/>
          <w:szCs w:val="24"/>
        </w:rPr>
        <w:t xml:space="preserve">. Payment at the time of purchase by cash and barter combine for less than 2% of </w:t>
      </w:r>
      <w:r>
        <w:rPr>
          <w:rFonts w:cs="Times New Roman"/>
          <w:szCs w:val="24"/>
        </w:rPr>
        <w:t>recorded sal</w:t>
      </w:r>
      <w:r w:rsidRPr="007678C3">
        <w:rPr>
          <w:rFonts w:cs="Times New Roman"/>
          <w:szCs w:val="24"/>
        </w:rPr>
        <w:t xml:space="preserve">es. </w:t>
      </w:r>
    </w:p>
    <w:p w:rsidR="00956A52" w:rsidRDefault="00956A52" w:rsidP="00956A52">
      <w:pPr>
        <w:spacing w:after="0" w:line="480" w:lineRule="auto"/>
        <w:ind w:firstLine="720"/>
        <w:jc w:val="both"/>
      </w:pPr>
      <w:r>
        <w:t xml:space="preserve">Cash and barter are spot transactions that do not result in any residual indebtedness; therefore, the merchant may not find it necessary to record them in the account book.  Martin (1939, 150) found similar results in her account book research: “The entries represent transactions with those customers who did not pay at once on purchasing goods for Dwight [Timothy Dwight, a Hartford merchant] either made no record of immediate cash purchases, or else there were almost no such transactions”.  </w:t>
      </w:r>
    </w:p>
    <w:p w:rsidR="00956A52" w:rsidRDefault="00956A52" w:rsidP="00956A52">
      <w:pPr>
        <w:spacing w:after="0" w:line="480" w:lineRule="auto"/>
        <w:ind w:firstLine="720"/>
        <w:jc w:val="both"/>
      </w:pPr>
      <w:r>
        <w:t xml:space="preserve">Cash and barter sales are likely underreported in the account books, but how severe is the bias?  While the underrepresentation of such spot transactions in our data set precludes the ability to make definitive claims about the relative frequency of cash and barter use versus credit use in sales, Baxter (2004) cites one Connecticut merchant who estimates his split as 60% credit, 30% cash, and 10% barter.  To put this in context, using our data, if account books report only one out of every hundred spot purchases, a significant bias, credit would still account for 40% of all purchases using the amount in Table 1.  While it would not be the dominant form of payment in terms of frequency, credit would still be an important method of sale.  </w:t>
      </w:r>
    </w:p>
    <w:p w:rsidR="00956A52" w:rsidRPr="007678C3" w:rsidRDefault="00956A52" w:rsidP="00956A52">
      <w:pPr>
        <w:spacing w:after="0" w:line="480" w:lineRule="auto"/>
        <w:ind w:firstLine="720"/>
        <w:jc w:val="both"/>
        <w:rPr>
          <w:rFonts w:cs="Times New Roman"/>
          <w:szCs w:val="24"/>
        </w:rPr>
      </w:pPr>
      <w:r w:rsidRPr="007678C3">
        <w:rPr>
          <w:rFonts w:cs="Times New Roman"/>
          <w:szCs w:val="24"/>
        </w:rPr>
        <w:t>The</w:t>
      </w:r>
      <w:r>
        <w:rPr>
          <w:rFonts w:cs="Times New Roman"/>
          <w:szCs w:val="24"/>
        </w:rPr>
        <w:t>se</w:t>
      </w:r>
      <w:r w:rsidRPr="007678C3">
        <w:rPr>
          <w:rFonts w:cs="Times New Roman"/>
          <w:szCs w:val="24"/>
        </w:rPr>
        <w:t xml:space="preserve"> </w:t>
      </w:r>
      <w:r>
        <w:rPr>
          <w:rFonts w:cs="Times New Roman"/>
          <w:szCs w:val="24"/>
        </w:rPr>
        <w:t xml:space="preserve">findings are consistent with the </w:t>
      </w:r>
      <w:r w:rsidRPr="007678C3">
        <w:rPr>
          <w:rFonts w:cs="Times New Roman"/>
          <w:szCs w:val="24"/>
        </w:rPr>
        <w:t>work</w:t>
      </w:r>
      <w:r>
        <w:rPr>
          <w:rFonts w:cs="Times New Roman"/>
          <w:szCs w:val="24"/>
        </w:rPr>
        <w:t>s</w:t>
      </w:r>
      <w:r w:rsidRPr="007678C3">
        <w:rPr>
          <w:rFonts w:cs="Times New Roman"/>
          <w:szCs w:val="24"/>
        </w:rPr>
        <w:t xml:space="preserve"> of Baxter </w:t>
      </w:r>
      <w:r w:rsidRPr="00350938">
        <w:rPr>
          <w:rFonts w:cs="Times New Roman"/>
          <w:szCs w:val="24"/>
        </w:rPr>
        <w:t>(1945)</w:t>
      </w:r>
      <w:r>
        <w:rPr>
          <w:rFonts w:cs="Times New Roman"/>
          <w:szCs w:val="24"/>
        </w:rPr>
        <w:t xml:space="preserve"> </w:t>
      </w:r>
      <w:r w:rsidRPr="007678C3">
        <w:rPr>
          <w:rFonts w:cs="Times New Roman"/>
          <w:szCs w:val="24"/>
        </w:rPr>
        <w:t xml:space="preserve">and Bridenbaugh </w:t>
      </w:r>
      <w:r>
        <w:rPr>
          <w:rFonts w:cs="Times New Roman"/>
          <w:szCs w:val="24"/>
        </w:rPr>
        <w:t xml:space="preserve">(1990) </w:t>
      </w:r>
      <w:r w:rsidRPr="007678C3">
        <w:rPr>
          <w:rFonts w:cs="Times New Roman"/>
          <w:szCs w:val="24"/>
        </w:rPr>
        <w:t xml:space="preserve">mentioned earlier. It is interesting that two colonies quite different in financial development would be so similar in the way goods were sold. </w:t>
      </w:r>
    </w:p>
    <w:p w:rsidR="00956A52" w:rsidRDefault="00956A52" w:rsidP="00956A52">
      <w:pPr>
        <w:spacing w:after="0" w:line="480" w:lineRule="auto"/>
        <w:jc w:val="both"/>
        <w:rPr>
          <w:rFonts w:cs="Times New Roman"/>
          <w:szCs w:val="24"/>
        </w:rPr>
      </w:pPr>
      <w:r w:rsidRPr="007678C3">
        <w:rPr>
          <w:rFonts w:cs="Times New Roman"/>
          <w:szCs w:val="24"/>
        </w:rPr>
        <w:t xml:space="preserve"> </w:t>
      </w:r>
    </w:p>
    <w:p w:rsidR="00956A52" w:rsidRPr="003D5F48" w:rsidRDefault="00956A52" w:rsidP="00956A52">
      <w:pPr>
        <w:keepNext/>
        <w:widowControl w:val="0"/>
        <w:spacing w:after="0" w:line="480" w:lineRule="auto"/>
        <w:jc w:val="both"/>
        <w:rPr>
          <w:i/>
        </w:rPr>
      </w:pPr>
      <w:r w:rsidRPr="003D5F48">
        <w:rPr>
          <w:i/>
        </w:rPr>
        <w:lastRenderedPageBreak/>
        <w:t>Recorded Repayments</w:t>
      </w:r>
    </w:p>
    <w:p w:rsidR="00956A52" w:rsidRDefault="00956A52" w:rsidP="00956A52">
      <w:pPr>
        <w:spacing w:after="0" w:line="480" w:lineRule="auto"/>
        <w:jc w:val="both"/>
      </w:pPr>
      <w:r>
        <w:rPr>
          <w:rFonts w:cs="Times New Roman"/>
          <w:szCs w:val="24"/>
        </w:rPr>
        <w:t xml:space="preserve">We </w:t>
      </w:r>
      <w:r w:rsidRPr="007678C3">
        <w:rPr>
          <w:rFonts w:cs="Times New Roman"/>
          <w:szCs w:val="24"/>
        </w:rPr>
        <w:t>have seven distinct repayment categories</w:t>
      </w:r>
      <w:r>
        <w:rPr>
          <w:rFonts w:cs="Times New Roman"/>
          <w:szCs w:val="24"/>
        </w:rPr>
        <w:t>: C</w:t>
      </w:r>
      <w:r w:rsidRPr="007678C3">
        <w:rPr>
          <w:rFonts w:cs="Times New Roman"/>
          <w:szCs w:val="24"/>
        </w:rPr>
        <w:t xml:space="preserve">ash, </w:t>
      </w:r>
      <w:r>
        <w:rPr>
          <w:rFonts w:cs="Times New Roman"/>
          <w:szCs w:val="24"/>
        </w:rPr>
        <w:t>G</w:t>
      </w:r>
      <w:r w:rsidRPr="007678C3">
        <w:rPr>
          <w:rFonts w:cs="Times New Roman"/>
          <w:szCs w:val="24"/>
        </w:rPr>
        <w:t xml:space="preserve">oods, </w:t>
      </w:r>
      <w:r>
        <w:rPr>
          <w:rFonts w:cs="Times New Roman"/>
          <w:szCs w:val="24"/>
        </w:rPr>
        <w:t>P</w:t>
      </w:r>
      <w:r w:rsidRPr="007678C3">
        <w:rPr>
          <w:rFonts w:cs="Times New Roman"/>
          <w:szCs w:val="24"/>
        </w:rPr>
        <w:t xml:space="preserve">ersonal </w:t>
      </w:r>
      <w:r>
        <w:rPr>
          <w:rFonts w:cs="Times New Roman"/>
          <w:szCs w:val="24"/>
        </w:rPr>
        <w:t>Note</w:t>
      </w:r>
      <w:r w:rsidRPr="007678C3">
        <w:rPr>
          <w:rFonts w:cs="Times New Roman"/>
          <w:szCs w:val="24"/>
        </w:rPr>
        <w:t xml:space="preserve">s, </w:t>
      </w:r>
      <w:r w:rsidR="00702BC3">
        <w:rPr>
          <w:rFonts w:cs="Times New Roman"/>
          <w:szCs w:val="24"/>
        </w:rPr>
        <w:t>Third-party</w:t>
      </w:r>
      <w:r w:rsidRPr="007678C3">
        <w:rPr>
          <w:rFonts w:cs="Times New Roman"/>
          <w:szCs w:val="24"/>
        </w:rPr>
        <w:t xml:space="preserve"> </w:t>
      </w:r>
      <w:r>
        <w:rPr>
          <w:rFonts w:cs="Times New Roman"/>
          <w:szCs w:val="24"/>
        </w:rPr>
        <w:t>Notes</w:t>
      </w:r>
      <w:r w:rsidRPr="007678C3">
        <w:rPr>
          <w:rFonts w:cs="Times New Roman"/>
          <w:szCs w:val="24"/>
        </w:rPr>
        <w:t xml:space="preserve">, </w:t>
      </w:r>
      <w:r>
        <w:rPr>
          <w:rFonts w:cs="Times New Roman"/>
          <w:szCs w:val="24"/>
        </w:rPr>
        <w:t>Reckoning, L</w:t>
      </w:r>
      <w:r w:rsidRPr="007678C3">
        <w:rPr>
          <w:rFonts w:cs="Times New Roman"/>
          <w:szCs w:val="24"/>
        </w:rPr>
        <w:t>abor</w:t>
      </w:r>
      <w:r>
        <w:rPr>
          <w:rFonts w:cs="Times New Roman"/>
          <w:szCs w:val="24"/>
        </w:rPr>
        <w:t>,</w:t>
      </w:r>
      <w:r w:rsidRPr="007678C3">
        <w:rPr>
          <w:rFonts w:cs="Times New Roman"/>
          <w:szCs w:val="24"/>
        </w:rPr>
        <w:t xml:space="preserve"> and </w:t>
      </w:r>
      <w:r>
        <w:rPr>
          <w:rFonts w:cs="Times New Roman"/>
          <w:szCs w:val="24"/>
        </w:rPr>
        <w:t>B</w:t>
      </w:r>
      <w:r w:rsidRPr="007678C3">
        <w:rPr>
          <w:rFonts w:cs="Times New Roman"/>
          <w:szCs w:val="24"/>
        </w:rPr>
        <w:t xml:space="preserve">ond. </w:t>
      </w:r>
      <w:r>
        <w:t xml:space="preserve">Table 2 shows more clearly the use of several different items for exchange and repayment of credit.  </w:t>
      </w:r>
    </w:p>
    <w:p w:rsidR="00956A52" w:rsidRDefault="00956A52" w:rsidP="00956A52">
      <w:pPr>
        <w:spacing w:after="0" w:line="480" w:lineRule="auto"/>
        <w:ind w:firstLine="720"/>
        <w:jc w:val="both"/>
      </w:pPr>
      <w:r w:rsidRPr="007678C3">
        <w:rPr>
          <w:rFonts w:cs="Times New Roman"/>
          <w:szCs w:val="24"/>
        </w:rPr>
        <w:t xml:space="preserve"> </w:t>
      </w:r>
    </w:p>
    <w:p w:rsidR="00956A52" w:rsidRPr="0069122C" w:rsidRDefault="00956A52" w:rsidP="00956A52">
      <w:pPr>
        <w:spacing w:after="0" w:line="480" w:lineRule="auto"/>
        <w:jc w:val="center"/>
        <w:rPr>
          <w:b/>
        </w:rPr>
      </w:pPr>
      <w:r w:rsidRPr="0069122C">
        <w:rPr>
          <w:b/>
        </w:rPr>
        <w:t>Table 2 about here</w:t>
      </w:r>
    </w:p>
    <w:p w:rsidR="00956A52" w:rsidRDefault="00956A52" w:rsidP="00956A52">
      <w:pPr>
        <w:spacing w:after="0" w:line="480" w:lineRule="auto"/>
        <w:jc w:val="both"/>
      </w:pPr>
      <w:r>
        <w:tab/>
      </w:r>
    </w:p>
    <w:p w:rsidR="00956A52" w:rsidRDefault="00956A52" w:rsidP="00956A52">
      <w:pPr>
        <w:spacing w:after="0" w:line="480" w:lineRule="auto"/>
        <w:jc w:val="both"/>
      </w:pPr>
      <w:r>
        <w:t xml:space="preserve">Goods play a significant role in the payments system.  One of the more striking aspects of this table is the high number and frequency of repayment in goods, almost twice the repayment in “cash” and at least 45% of the repayments in both colonies.  </w:t>
      </w:r>
    </w:p>
    <w:p w:rsidR="00956A52" w:rsidRDefault="00956A52" w:rsidP="00956A52">
      <w:pPr>
        <w:spacing w:after="0" w:line="480" w:lineRule="auto"/>
        <w:ind w:firstLine="720"/>
        <w:jc w:val="both"/>
      </w:pPr>
      <w:r>
        <w:t xml:space="preserve">Personal notes and </w:t>
      </w:r>
      <w:r w:rsidR="00702BC3">
        <w:t>third-party</w:t>
      </w:r>
      <w:r>
        <w:t xml:space="preserve"> notes together appear as payment for book credit balances almost 14% in the two colonies combined.  </w:t>
      </w:r>
      <w:r w:rsidR="00702BC3">
        <w:t>Third-party</w:t>
      </w:r>
      <w:r>
        <w:t xml:space="preserve"> notes accounted for almost 14% of repayments in Massachusetts, as compared to less than 7% in Connecticut, and were much more widely used to satisfy debts than their first party counterparts (five times as often in Massachusetts and twice as often in Connecticut).  </w:t>
      </w:r>
      <w:r w:rsidR="00901BE2">
        <w:t>It appears</w:t>
      </w:r>
      <w:r>
        <w:t xml:space="preserve"> these notes circulated at least enough that people used another person’s note rather than their own.  According to Martin (1939, 157-158), merchants accepted the notes as a swap of one credit instrument for another because these notes could be used in other payments. The use of </w:t>
      </w:r>
      <w:r w:rsidR="00702BC3">
        <w:t>third-party</w:t>
      </w:r>
      <w:r>
        <w:t xml:space="preserve"> notes in Table 2 was more than three times than of personal notes, strengthening this claim.  While small compared to the use of goods for repayment, the result is important.  The personal notes circulated, probably not as well as colony bills of credit, should </w:t>
      </w:r>
      <w:r w:rsidR="004C7998">
        <w:t xml:space="preserve">nevertheless </w:t>
      </w:r>
      <w:r>
        <w:t xml:space="preserve">be added when addressing the issue of the amount of paper currency in circulation.  </w:t>
      </w:r>
    </w:p>
    <w:p w:rsidR="00956A52" w:rsidRDefault="00956A52" w:rsidP="00956A52">
      <w:pPr>
        <w:spacing w:after="0" w:line="480" w:lineRule="auto"/>
        <w:ind w:firstLine="720"/>
        <w:jc w:val="both"/>
      </w:pPr>
      <w:r>
        <w:lastRenderedPageBreak/>
        <w:t xml:space="preserve">Labor was more prevalent in Connecticut, accounting for almost 9% of repayments, whereas it was </w:t>
      </w:r>
      <w:r w:rsidR="004C7998">
        <w:t xml:space="preserve">only </w:t>
      </w:r>
      <w:r>
        <w:t xml:space="preserve">employed in a little more than 2% of repayments in Massachusetts.  The larger Connecticut percentage is due mostly to larger rural representation in the Connecticut sample.  In rural regions, it is more likely that the shopkeeper engages in other pursuits such as farming, increasing the options for payment (e.g., repaying your dry goods bill by plowing land).  The presence of labor in the payment system is another example of a delayed barter arrangement.  </w:t>
      </w:r>
    </w:p>
    <w:p w:rsidR="00956A52" w:rsidRDefault="00956A52" w:rsidP="00956A52">
      <w:pPr>
        <w:spacing w:after="0" w:line="480" w:lineRule="auto"/>
        <w:jc w:val="both"/>
        <w:rPr>
          <w:rFonts w:cs="Times New Roman"/>
          <w:szCs w:val="24"/>
        </w:rPr>
      </w:pPr>
      <w:r>
        <w:tab/>
        <w:t xml:space="preserve">It is noteworthy that the inclusion of personal and </w:t>
      </w:r>
      <w:r w:rsidR="00702BC3">
        <w:t>third-party</w:t>
      </w:r>
      <w:r>
        <w:t xml:space="preserve"> notes as cash does not exceed goods as the most common form of repayment, lending support to Baxter’s claim about merchants, that “…although he valued what he bought and sold in terms of money, [he] seems to have handled money itself remarkably seldom” (Baxter, 1945, 14).  The fact that r</w:t>
      </w:r>
      <w:r w:rsidRPr="007678C3">
        <w:rPr>
          <w:rFonts w:cs="Times New Roman"/>
          <w:szCs w:val="24"/>
        </w:rPr>
        <w:t xml:space="preserve">eckoning accounted </w:t>
      </w:r>
      <w:r>
        <w:rPr>
          <w:rFonts w:cs="Times New Roman"/>
          <w:szCs w:val="24"/>
        </w:rPr>
        <w:t>for more than 7% of repayments in each colony provides further evidence</w:t>
      </w:r>
      <w:r w:rsidRPr="007678C3">
        <w:rPr>
          <w:rFonts w:cs="Times New Roman"/>
          <w:szCs w:val="24"/>
        </w:rPr>
        <w:t xml:space="preserve">. </w:t>
      </w:r>
    </w:p>
    <w:p w:rsidR="00956A52" w:rsidRDefault="00956A52" w:rsidP="00956A52">
      <w:pPr>
        <w:spacing w:after="0" w:line="480" w:lineRule="auto"/>
        <w:ind w:firstLine="720"/>
        <w:jc w:val="both"/>
      </w:pPr>
      <w:r>
        <w:t xml:space="preserve">Moreover, account evidence supports another of his claims, “the accounts over and over again tell of the creditor’s weary efforts to get his dues by accepting a tardy and halting series of odds and ends” (Baxter, 1945, 21).  These results present an additional problem: the lack of cash in repayments suggests limited circulation for both specie and notes, or they were too expensive relative to goods in payment.  </w:t>
      </w:r>
      <w:r>
        <w:rPr>
          <w:rFonts w:cs="Times New Roman"/>
          <w:szCs w:val="24"/>
        </w:rPr>
        <w:t>Our data seem</w:t>
      </w:r>
      <w:r w:rsidRPr="007678C3">
        <w:rPr>
          <w:rFonts w:cs="Times New Roman"/>
          <w:szCs w:val="24"/>
        </w:rPr>
        <w:t xml:space="preserve"> to confirm </w:t>
      </w:r>
      <w:r>
        <w:rPr>
          <w:rFonts w:cs="Times New Roman"/>
          <w:szCs w:val="24"/>
        </w:rPr>
        <w:t xml:space="preserve">the notion that creditors’ </w:t>
      </w:r>
      <w:r w:rsidRPr="007678C3">
        <w:rPr>
          <w:rFonts w:cs="Times New Roman"/>
          <w:szCs w:val="24"/>
        </w:rPr>
        <w:t xml:space="preserve">receipt of “odds and ends” </w:t>
      </w:r>
      <w:r>
        <w:rPr>
          <w:rFonts w:cs="Times New Roman"/>
          <w:szCs w:val="24"/>
        </w:rPr>
        <w:t xml:space="preserve">did not </w:t>
      </w:r>
      <w:r>
        <w:t>show a lack of cash use and barter, but rather they show a lack of cash and barter available at the time of sale.  The bias against spot transactions may not be severe if customers and merchants substituted with credit and used cash and goods in the repayment of credit balances.</w:t>
      </w:r>
    </w:p>
    <w:p w:rsidR="00786623" w:rsidRDefault="00786623" w:rsidP="00956A52">
      <w:pPr>
        <w:spacing w:after="0" w:line="480" w:lineRule="auto"/>
        <w:ind w:firstLine="720"/>
        <w:jc w:val="both"/>
      </w:pPr>
    </w:p>
    <w:p w:rsidR="00991FAC" w:rsidRPr="0058769F" w:rsidRDefault="00EF6BD1" w:rsidP="003D5F48">
      <w:pPr>
        <w:keepNext/>
        <w:widowControl w:val="0"/>
        <w:rPr>
          <w:b/>
        </w:rPr>
      </w:pPr>
      <w:r>
        <w:rPr>
          <w:b/>
        </w:rPr>
        <w:t>L</w:t>
      </w:r>
      <w:r w:rsidR="00991FAC" w:rsidRPr="0058769F">
        <w:rPr>
          <w:b/>
        </w:rPr>
        <w:t>awful Money</w:t>
      </w:r>
    </w:p>
    <w:p w:rsidR="00991FAC" w:rsidRPr="00F07F83" w:rsidRDefault="00991FAC" w:rsidP="00991FAC">
      <w:pPr>
        <w:pStyle w:val="Heading1"/>
        <w:spacing w:line="480" w:lineRule="auto"/>
        <w:jc w:val="both"/>
        <w:rPr>
          <w:rFonts w:cs="Arial"/>
          <w:b w:val="0"/>
          <w:sz w:val="24"/>
          <w:szCs w:val="24"/>
        </w:rPr>
      </w:pPr>
      <w:r w:rsidRPr="00F07F83">
        <w:rPr>
          <w:b w:val="0"/>
          <w:sz w:val="24"/>
          <w:szCs w:val="24"/>
        </w:rPr>
        <w:t xml:space="preserve">The account books supply more information about the relative importance of methods of sale and repayment than frequency of occurrence. While cash and barter transactions accounted for less </w:t>
      </w:r>
      <w:r w:rsidRPr="00F07F83">
        <w:rPr>
          <w:b w:val="0"/>
          <w:sz w:val="24"/>
          <w:szCs w:val="24"/>
        </w:rPr>
        <w:lastRenderedPageBreak/>
        <w:t xml:space="preserve">than 2% of </w:t>
      </w:r>
      <w:r>
        <w:rPr>
          <w:b w:val="0"/>
          <w:sz w:val="24"/>
          <w:szCs w:val="24"/>
        </w:rPr>
        <w:t>recorded sales,</w:t>
      </w:r>
      <w:r w:rsidRPr="00F07F83">
        <w:rPr>
          <w:b w:val="0"/>
          <w:sz w:val="24"/>
          <w:szCs w:val="24"/>
        </w:rPr>
        <w:t xml:space="preserve"> their importance may be understated if they were twice the value of </w:t>
      </w:r>
      <w:r>
        <w:rPr>
          <w:b w:val="0"/>
          <w:sz w:val="24"/>
          <w:szCs w:val="24"/>
        </w:rPr>
        <w:t>credit sales</w:t>
      </w:r>
      <w:r w:rsidRPr="00F07F83">
        <w:rPr>
          <w:b w:val="0"/>
          <w:sz w:val="24"/>
          <w:szCs w:val="24"/>
        </w:rPr>
        <w:t>.</w:t>
      </w:r>
    </w:p>
    <w:p w:rsidR="00EF6BD1" w:rsidRDefault="00EF6BD1" w:rsidP="00991FAC">
      <w:pPr>
        <w:pStyle w:val="Heading1"/>
        <w:spacing w:line="480" w:lineRule="auto"/>
        <w:jc w:val="both"/>
        <w:rPr>
          <w:rFonts w:cs="Arial"/>
          <w:b w:val="0"/>
          <w:i/>
          <w:sz w:val="24"/>
          <w:szCs w:val="24"/>
        </w:rPr>
      </w:pPr>
    </w:p>
    <w:p w:rsidR="00991FAC" w:rsidRPr="003D5F48" w:rsidRDefault="00991FAC" w:rsidP="00991FAC">
      <w:pPr>
        <w:pStyle w:val="Heading1"/>
        <w:spacing w:line="480" w:lineRule="auto"/>
        <w:jc w:val="both"/>
        <w:rPr>
          <w:rFonts w:cs="Arial"/>
          <w:b w:val="0"/>
          <w:i/>
          <w:sz w:val="24"/>
          <w:szCs w:val="24"/>
        </w:rPr>
      </w:pPr>
      <w:r w:rsidRPr="003D5F48">
        <w:rPr>
          <w:rFonts w:cs="Arial"/>
          <w:b w:val="0"/>
          <w:i/>
          <w:sz w:val="24"/>
          <w:szCs w:val="24"/>
        </w:rPr>
        <w:t>Nominal versus Real Amounts</w:t>
      </w:r>
    </w:p>
    <w:p w:rsidR="00991FAC" w:rsidRDefault="00991FAC" w:rsidP="00991FAC">
      <w:pPr>
        <w:spacing w:after="0" w:line="480" w:lineRule="auto"/>
        <w:jc w:val="both"/>
      </w:pPr>
      <w:r>
        <w:t xml:space="preserve">Comparisons of amounts across time are difficult to undertake, particularly for New England in this </w:t>
      </w:r>
      <w:r w:rsidR="00901BE2">
        <w:t>time</w:t>
      </w:r>
      <w:r>
        <w:t>.  New England had two important standards for their currency, called old tenor and lawful money.</w:t>
      </w:r>
      <w:r>
        <w:rPr>
          <w:rStyle w:val="FootnoteReference"/>
        </w:rPr>
        <w:footnoteReference w:id="5"/>
      </w:r>
      <w:r>
        <w:t xml:space="preserve">  A third standard, called middle tenor, also existed but merchants rarely used it in their accounts.  The trouble arises from the fact that merchants kept accounts in pounds, but the silver value of the pounds changed over time.  Old tenor values fluctuated over time while the Lawful Money standard, fixed the silver value of the colonial pound, resulting in an exchange rate of £133.33 Massachusetts to £100.00 sterling.  Over the first half of the eighteenth century, the value of old tenor paper notes fell against the pound sterling.  Massachusetts returned to the Lawful Money standard after March of 1750 and Connecticut returned after November of 1756 (McCusker, 1978, 135).  Our data set includes some account books with values in old tenor and others with values in Lawful Money, requiring the adoption of a common standard for comparison sake, as well as further statistical work.  Two reasons make Lawful Money the logical choice: first, many account books show merchants converting values from old tenor to Lawful Money; second, Lawful Money maintained a consistent value throughout the period.</w:t>
      </w:r>
    </w:p>
    <w:p w:rsidR="00991FAC" w:rsidRDefault="00991FAC" w:rsidP="00991FAC">
      <w:pPr>
        <w:autoSpaceDE w:val="0"/>
        <w:autoSpaceDN w:val="0"/>
        <w:adjustRightInd w:val="0"/>
        <w:spacing w:after="0" w:line="480" w:lineRule="auto"/>
        <w:ind w:firstLine="720"/>
        <w:jc w:val="both"/>
      </w:pPr>
      <w:r>
        <w:t xml:space="preserve">While the choice of a base year is arbitrary, 1771 seemed reasonable since it is the approximate end date for the data.  McCusker (1993, 323-325) again imparts assistance in Table A-2 from “How Much is that in Real Money?” providing price indices for all years covered in the data, allowing conversion to the base year.  </w:t>
      </w:r>
    </w:p>
    <w:p w:rsidR="00991FAC" w:rsidRDefault="00991FAC" w:rsidP="00991FAC">
      <w:pPr>
        <w:autoSpaceDE w:val="0"/>
        <w:autoSpaceDN w:val="0"/>
        <w:adjustRightInd w:val="0"/>
        <w:spacing w:after="0" w:line="480" w:lineRule="auto"/>
        <w:ind w:firstLine="720"/>
        <w:jc w:val="both"/>
      </w:pPr>
      <w:r w:rsidRPr="007678C3">
        <w:rPr>
          <w:rFonts w:cs="Times New Roman"/>
          <w:szCs w:val="24"/>
        </w:rPr>
        <w:lastRenderedPageBreak/>
        <w:t xml:space="preserve">Using a two-step process, </w:t>
      </w:r>
      <w:r>
        <w:rPr>
          <w:rFonts w:cs="Times New Roman"/>
          <w:szCs w:val="24"/>
        </w:rPr>
        <w:t>we</w:t>
      </w:r>
      <w:r w:rsidRPr="007678C3">
        <w:rPr>
          <w:rFonts w:cs="Times New Roman"/>
          <w:szCs w:val="24"/>
        </w:rPr>
        <w:t xml:space="preserve"> adjust the quantitative data </w:t>
      </w:r>
      <w:r w:rsidR="004C7998">
        <w:rPr>
          <w:rFonts w:cs="Times New Roman"/>
          <w:szCs w:val="24"/>
        </w:rPr>
        <w:t xml:space="preserve">obtained </w:t>
      </w:r>
      <w:r w:rsidRPr="007678C3">
        <w:rPr>
          <w:rFonts w:cs="Times New Roman"/>
          <w:szCs w:val="24"/>
        </w:rPr>
        <w:t xml:space="preserve">into </w:t>
      </w:r>
      <w:r>
        <w:rPr>
          <w:rFonts w:cs="Times New Roman"/>
          <w:szCs w:val="24"/>
        </w:rPr>
        <w:t>L</w:t>
      </w:r>
      <w:r w:rsidRPr="007678C3">
        <w:rPr>
          <w:rFonts w:cs="Times New Roman"/>
          <w:szCs w:val="24"/>
        </w:rPr>
        <w:t xml:space="preserve">awful </w:t>
      </w:r>
      <w:r>
        <w:rPr>
          <w:rFonts w:cs="Times New Roman"/>
          <w:szCs w:val="24"/>
        </w:rPr>
        <w:t>M</w:t>
      </w:r>
      <w:r w:rsidRPr="007678C3">
        <w:rPr>
          <w:rFonts w:cs="Times New Roman"/>
          <w:szCs w:val="24"/>
        </w:rPr>
        <w:t>oney with a standard year of 177</w:t>
      </w:r>
      <w:r>
        <w:rPr>
          <w:rFonts w:cs="Times New Roman"/>
          <w:szCs w:val="24"/>
        </w:rPr>
        <w:t>1</w:t>
      </w:r>
      <w:r w:rsidRPr="007678C3">
        <w:rPr>
          <w:rFonts w:cs="Times New Roman"/>
          <w:szCs w:val="24"/>
        </w:rPr>
        <w:t xml:space="preserve">. </w:t>
      </w:r>
      <w:r>
        <w:t xml:space="preserve">Conversion between old tenor and Lawful Money is not a simple task. The first step is assessing which values need adjustment, a task made difficult by inconsistent merchant record keeping.  The date of the sale or payment is a good indicator of whether the amount is old tenor or Lawful Money.  Another indicator of the unit of account is whether the merchant performed an exchange calculation in the accounts.  McCusker (1978, 135) eases the conversion process, where Table 3.1 in this book lists the monthly exchange rate between Massachusetts’ old tenor and sterling, expressed as so many Massachusetts pounds per £100 sterling.  One must divide the rates in the table by 133.33 to convert the old tenor-sterling exchange rates to old tenor-Lawful Money rates.  The entries requiring conversion are mostly pre-1750 account entries, though some merchants continued old tenor use beyond that date.  </w:t>
      </w:r>
      <w:r w:rsidRPr="007678C3">
        <w:rPr>
          <w:rFonts w:cs="Times New Roman"/>
          <w:szCs w:val="24"/>
        </w:rPr>
        <w:t xml:space="preserve">At this point it is possible to convert all values in Massachusetts into </w:t>
      </w:r>
      <w:r>
        <w:rPr>
          <w:rFonts w:cs="Times New Roman"/>
          <w:szCs w:val="24"/>
        </w:rPr>
        <w:t>L</w:t>
      </w:r>
      <w:r w:rsidRPr="007678C3">
        <w:rPr>
          <w:rFonts w:cs="Times New Roman"/>
          <w:szCs w:val="24"/>
        </w:rPr>
        <w:t xml:space="preserve">awful </w:t>
      </w:r>
      <w:r>
        <w:rPr>
          <w:rFonts w:cs="Times New Roman"/>
          <w:szCs w:val="24"/>
        </w:rPr>
        <w:t>M</w:t>
      </w:r>
      <w:r w:rsidRPr="007678C3">
        <w:rPr>
          <w:rFonts w:cs="Times New Roman"/>
          <w:szCs w:val="24"/>
        </w:rPr>
        <w:t xml:space="preserve">oney. </w:t>
      </w:r>
      <w:r>
        <w:t xml:space="preserve">The same table can be used for the Connecticut data except for the six years from March 1750 to November 1756, where </w:t>
      </w:r>
      <w:r w:rsidRPr="007678C3">
        <w:rPr>
          <w:rFonts w:cs="Times New Roman"/>
          <w:szCs w:val="24"/>
        </w:rPr>
        <w:t xml:space="preserve">new rates must be calculated due to the persistence of old tenor in Connecticut. </w:t>
      </w:r>
      <w:r>
        <w:t xml:space="preserve">McCusker (1978, Table 3.4) provides an approximation for the metallic rate of exchange for Connecticut from the years 1750 to 1760.  Some comparisons may require conversion to a base year, mostly as a correction for inflation.  </w:t>
      </w:r>
    </w:p>
    <w:p w:rsidR="00991FAC" w:rsidRDefault="00991FAC" w:rsidP="00991FAC">
      <w:pPr>
        <w:spacing w:after="0" w:line="480" w:lineRule="auto"/>
        <w:ind w:firstLine="720"/>
        <w:jc w:val="both"/>
      </w:pPr>
    </w:p>
    <w:p w:rsidR="00991FAC" w:rsidRPr="004C7998" w:rsidRDefault="00991FAC" w:rsidP="00991FAC">
      <w:pPr>
        <w:spacing w:after="0" w:line="480" w:lineRule="auto"/>
        <w:jc w:val="center"/>
        <w:rPr>
          <w:b/>
          <w:color w:val="FF0000"/>
        </w:rPr>
      </w:pPr>
      <w:r w:rsidRPr="005E4142">
        <w:rPr>
          <w:b/>
        </w:rPr>
        <w:t xml:space="preserve">Figure </w:t>
      </w:r>
      <w:r>
        <w:rPr>
          <w:b/>
        </w:rPr>
        <w:t>3</w:t>
      </w:r>
      <w:r w:rsidRPr="005E4142">
        <w:rPr>
          <w:b/>
        </w:rPr>
        <w:t xml:space="preserve"> about here</w:t>
      </w:r>
      <w:r w:rsidR="004C7998">
        <w:rPr>
          <w:b/>
        </w:rPr>
        <w:t xml:space="preserve"> </w:t>
      </w:r>
      <w:r w:rsidR="004C7998" w:rsidRPr="004C7998">
        <w:t xml:space="preserve"> </w:t>
      </w:r>
    </w:p>
    <w:p w:rsidR="00991FAC" w:rsidRDefault="00991FAC" w:rsidP="00991FAC">
      <w:pPr>
        <w:spacing w:after="0" w:line="480" w:lineRule="auto"/>
        <w:ind w:firstLine="720"/>
        <w:jc w:val="both"/>
      </w:pPr>
    </w:p>
    <w:p w:rsidR="00747D20" w:rsidRDefault="00991FAC" w:rsidP="00991FAC">
      <w:pPr>
        <w:spacing w:after="0" w:line="480" w:lineRule="auto"/>
        <w:ind w:firstLine="720"/>
        <w:jc w:val="both"/>
        <w:rPr>
          <w:color w:val="FF0000"/>
        </w:rPr>
      </w:pPr>
      <w:r>
        <w:t xml:space="preserve">Figure 3 shows the process of these conversions and the adjustments they make to the account book values.  The first column reports transaction type: Sale or Repayment.  The next two columns provide the date and the account book description of the transactions.  The fourth column </w:t>
      </w:r>
      <w:r>
        <w:lastRenderedPageBreak/>
        <w:t>presents the decimal pound amount of the original sale amount.  The fifth and sixth columns convert the fourth column into Lawful Money and Lawful Money with a base year of 1771.</w:t>
      </w:r>
      <w:r w:rsidR="004C7998">
        <w:t xml:space="preserve"> </w:t>
      </w:r>
    </w:p>
    <w:p w:rsidR="00991FAC" w:rsidRDefault="00991FAC" w:rsidP="00991FAC">
      <w:pPr>
        <w:spacing w:after="0" w:line="480" w:lineRule="auto"/>
        <w:ind w:firstLine="720"/>
        <w:jc w:val="both"/>
      </w:pPr>
      <w:r>
        <w:t>Figure 3 displays the account between Catherine Coss, customer, and Isaac Huntington, a Connecticut merchant.  Coss made one purchase from Huntington that required book credit.  She made three payments on the account, the first being the next day after receiving the goods.  The decimal pound column shows the nominal value of each entry.  The conversion of the first entry into Lawful Money requires multiplying by 0.667, going from £1.07 to £0.714, introducing a slight error due to rounding.</w:t>
      </w:r>
      <w:r>
        <w:rPr>
          <w:rStyle w:val="FootnoteReference"/>
        </w:rPr>
        <w:footnoteReference w:id="6"/>
      </w:r>
      <w:r>
        <w:t xml:space="preserve">  The first payment occurred the next day and, therefore, used the same exchange rate to Lawful Money.  The second payment occurred the following year.  An exchange rate of 0.628 between old tenor and Lawful Money adjusts the £0.75 to £0.471.  The exchange rate for the final payment is 0.58, reducing the payment of £0.10 old tenor to £0.058 Lawful Money.  Adjusting the values to a base year of 1771 generates the numbers in the final column.  The Lawful Money value for the sale increases from £0.714 to £0.811 when multiplied by a factor of </w:t>
      </w:r>
      <w:r w:rsidRPr="003022A5">
        <w:t>1.1358 from McCusker’s</w:t>
      </w:r>
      <w:r w:rsidR="00404687">
        <w:t xml:space="preserve"> table to convert it into base Y</w:t>
      </w:r>
      <w:r w:rsidRPr="003022A5">
        <w:t>ear 1771 values</w:t>
      </w:r>
      <w:r>
        <w:t xml:space="preserve">.  Figure 4 shows the payments adjusted likewise.  </w:t>
      </w:r>
    </w:p>
    <w:p w:rsidR="00991FAC" w:rsidRDefault="00991FAC" w:rsidP="00991FAC">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Conversions are a controversial topic. While some merchants made conversions from old tenor into </w:t>
      </w:r>
      <w:r w:rsidR="003A38F2">
        <w:rPr>
          <w:rFonts w:cs="Times New Roman"/>
          <w:szCs w:val="24"/>
        </w:rPr>
        <w:t>L</w:t>
      </w:r>
      <w:r w:rsidRPr="007678C3">
        <w:rPr>
          <w:rFonts w:cs="Times New Roman"/>
          <w:szCs w:val="24"/>
        </w:rPr>
        <w:t xml:space="preserve">awful </w:t>
      </w:r>
      <w:r w:rsidR="003A38F2">
        <w:rPr>
          <w:rFonts w:cs="Times New Roman"/>
          <w:szCs w:val="24"/>
        </w:rPr>
        <w:t>M</w:t>
      </w:r>
      <w:r w:rsidRPr="007678C3">
        <w:rPr>
          <w:rFonts w:cs="Times New Roman"/>
          <w:szCs w:val="24"/>
        </w:rPr>
        <w:t xml:space="preserve">oney, they did not explicitly </w:t>
      </w:r>
      <w:r w:rsidR="00901BE2" w:rsidRPr="007678C3">
        <w:rPr>
          <w:rFonts w:cs="Times New Roman"/>
          <w:szCs w:val="24"/>
        </w:rPr>
        <w:t>consider</w:t>
      </w:r>
      <w:r w:rsidRPr="007678C3">
        <w:rPr>
          <w:rFonts w:cs="Times New Roman"/>
          <w:szCs w:val="24"/>
        </w:rPr>
        <w:t xml:space="preserve"> price changes over time in their account books. Whether they did so implicitly is still an open question, but they do not tell us such in the account books. When the</w:t>
      </w:r>
      <w:r w:rsidR="00B75613">
        <w:rPr>
          <w:rFonts w:cs="Times New Roman"/>
          <w:szCs w:val="24"/>
        </w:rPr>
        <w:t xml:space="preserve"> merchants</w:t>
      </w:r>
      <w:r w:rsidRPr="007678C3">
        <w:rPr>
          <w:rFonts w:cs="Times New Roman"/>
          <w:szCs w:val="24"/>
        </w:rPr>
        <w:t xml:space="preserve"> mark an account as cleared or settled</w:t>
      </w:r>
      <w:r>
        <w:rPr>
          <w:rFonts w:cs="Times New Roman"/>
          <w:szCs w:val="24"/>
        </w:rPr>
        <w:t>,</w:t>
      </w:r>
      <w:r w:rsidRPr="007678C3">
        <w:rPr>
          <w:rFonts w:cs="Times New Roman"/>
          <w:szCs w:val="24"/>
        </w:rPr>
        <w:t xml:space="preserve"> should these conversions be used if they tell us something different? </w:t>
      </w:r>
      <w:r>
        <w:rPr>
          <w:rFonts w:cs="Times New Roman"/>
          <w:szCs w:val="24"/>
        </w:rPr>
        <w:t xml:space="preserve">Moreover, many accounts span several years and sometimes decades, raising the issue of the time value of money.  Despite these </w:t>
      </w:r>
      <w:r>
        <w:rPr>
          <w:rFonts w:cs="Times New Roman"/>
          <w:szCs w:val="24"/>
        </w:rPr>
        <w:lastRenderedPageBreak/>
        <w:t xml:space="preserve">limitations, we believe that the ability to compare value directly through the conversion process overcomes </w:t>
      </w:r>
      <w:r w:rsidR="0041713F">
        <w:rPr>
          <w:rFonts w:cs="Times New Roman"/>
          <w:szCs w:val="24"/>
        </w:rPr>
        <w:t>all</w:t>
      </w:r>
      <w:r>
        <w:rPr>
          <w:rFonts w:cs="Times New Roman"/>
          <w:szCs w:val="24"/>
        </w:rPr>
        <w:t xml:space="preserve"> the issues introduced.  Thus, a</w:t>
      </w:r>
      <w:r w:rsidRPr="007678C3">
        <w:rPr>
          <w:rFonts w:cs="Times New Roman"/>
          <w:szCs w:val="24"/>
        </w:rPr>
        <w:t xml:space="preserve">ll </w:t>
      </w:r>
      <w:r>
        <w:rPr>
          <w:rFonts w:cs="Times New Roman"/>
          <w:szCs w:val="24"/>
        </w:rPr>
        <w:t xml:space="preserve">financial </w:t>
      </w:r>
      <w:r w:rsidRPr="007678C3">
        <w:rPr>
          <w:rFonts w:cs="Times New Roman"/>
          <w:szCs w:val="24"/>
        </w:rPr>
        <w:t xml:space="preserve">values </w:t>
      </w:r>
      <w:r>
        <w:rPr>
          <w:rFonts w:cs="Times New Roman"/>
          <w:szCs w:val="24"/>
        </w:rPr>
        <w:t>in the following tables are reported in £ L</w:t>
      </w:r>
      <w:r w:rsidRPr="007678C3">
        <w:rPr>
          <w:rFonts w:cs="Times New Roman"/>
          <w:szCs w:val="24"/>
        </w:rPr>
        <w:t xml:space="preserve">awful </w:t>
      </w:r>
      <w:r>
        <w:rPr>
          <w:rFonts w:cs="Times New Roman"/>
          <w:szCs w:val="24"/>
        </w:rPr>
        <w:t>M</w:t>
      </w:r>
      <w:r w:rsidRPr="007678C3">
        <w:rPr>
          <w:rFonts w:cs="Times New Roman"/>
          <w:szCs w:val="24"/>
        </w:rPr>
        <w:t xml:space="preserve">oney </w:t>
      </w:r>
      <w:r>
        <w:rPr>
          <w:rFonts w:cs="Times New Roman"/>
          <w:szCs w:val="24"/>
        </w:rPr>
        <w:t>(1771)</w:t>
      </w:r>
      <w:r w:rsidRPr="007678C3">
        <w:rPr>
          <w:rFonts w:cs="Times New Roman"/>
          <w:szCs w:val="24"/>
        </w:rPr>
        <w:t xml:space="preserve">. </w:t>
      </w:r>
    </w:p>
    <w:p w:rsidR="00775769" w:rsidRDefault="00775769">
      <w:pPr>
        <w:rPr>
          <w:rFonts w:cs="Times New Roman"/>
          <w:szCs w:val="24"/>
        </w:rPr>
      </w:pPr>
    </w:p>
    <w:p w:rsidR="00775769" w:rsidRPr="00423D0E" w:rsidRDefault="00775769">
      <w:pPr>
        <w:rPr>
          <w:rFonts w:cs="Times New Roman"/>
          <w:i/>
          <w:szCs w:val="24"/>
        </w:rPr>
      </w:pPr>
      <w:r w:rsidRPr="00423D0E">
        <w:rPr>
          <w:rFonts w:cs="Times New Roman"/>
          <w:i/>
          <w:szCs w:val="24"/>
        </w:rPr>
        <w:t>Individual Merchant Summaries</w:t>
      </w:r>
    </w:p>
    <w:p w:rsidR="00775769" w:rsidRDefault="00775769">
      <w:pPr>
        <w:rPr>
          <w:rFonts w:cs="Times New Roman"/>
          <w:szCs w:val="24"/>
        </w:rPr>
      </w:pPr>
    </w:p>
    <w:p w:rsidR="00775769" w:rsidRPr="00423D0E" w:rsidRDefault="00775769" w:rsidP="00423D0E">
      <w:pPr>
        <w:jc w:val="center"/>
        <w:rPr>
          <w:rFonts w:cs="Times New Roman"/>
          <w:b/>
          <w:szCs w:val="24"/>
        </w:rPr>
      </w:pPr>
      <w:r w:rsidRPr="00423D0E">
        <w:rPr>
          <w:rFonts w:cs="Times New Roman"/>
          <w:b/>
          <w:szCs w:val="24"/>
        </w:rPr>
        <w:t>Tables 3 and 4 about here</w:t>
      </w:r>
    </w:p>
    <w:p w:rsidR="00775769" w:rsidRDefault="00775769" w:rsidP="00775769">
      <w:pPr>
        <w:rPr>
          <w:rFonts w:cs="Times New Roman"/>
          <w:szCs w:val="24"/>
        </w:rPr>
      </w:pPr>
    </w:p>
    <w:p w:rsidR="00775769" w:rsidRDefault="00775769" w:rsidP="00423D0E">
      <w:pPr>
        <w:spacing w:line="480" w:lineRule="auto"/>
        <w:jc w:val="both"/>
        <w:rPr>
          <w:rFonts w:cs="Times New Roman"/>
          <w:szCs w:val="24"/>
        </w:rPr>
      </w:pPr>
      <w:r>
        <w:rPr>
          <w:rFonts w:cs="Times New Roman"/>
          <w:szCs w:val="24"/>
        </w:rPr>
        <w:t>Tables 3 and 4 present average entries</w:t>
      </w:r>
      <w:r w:rsidR="00745753">
        <w:rPr>
          <w:rStyle w:val="FootnoteReference"/>
          <w:rFonts w:cs="Times New Roman"/>
          <w:szCs w:val="24"/>
        </w:rPr>
        <w:footnoteReference w:id="7"/>
      </w:r>
      <w:r>
        <w:rPr>
          <w:rFonts w:cs="Times New Roman"/>
          <w:szCs w:val="24"/>
        </w:rPr>
        <w:t xml:space="preserve"> for merchants in Connecticut and Massachusetts, respectively.  Although we will discuss recorded sales and recorded repayments more fully below, we can </w:t>
      </w:r>
      <w:r w:rsidR="00745753">
        <w:rPr>
          <w:rFonts w:cs="Times New Roman"/>
          <w:szCs w:val="24"/>
        </w:rPr>
        <w:t xml:space="preserve">recognize some similarities as well as some differences across these colonies.  First, extension of credit is pervasive, with only one merchant failing to record a credit sale while contemporaneous cash and barter transactions occur on fewer merchant books.  Recorded repayments appear most consistently as cash and goods, although </w:t>
      </w:r>
      <w:r w:rsidR="00DF2DF7">
        <w:rPr>
          <w:rFonts w:cs="Times New Roman"/>
          <w:szCs w:val="24"/>
        </w:rPr>
        <w:t xml:space="preserve">other repayment types occur across the </w:t>
      </w:r>
      <w:r w:rsidR="00E22360">
        <w:rPr>
          <w:rFonts w:cs="Times New Roman"/>
          <w:szCs w:val="24"/>
        </w:rPr>
        <w:t>colonies.  Looking more closely at recorded credit sales, Connecticut had two out of 25 merchants dealing in larger terms (greater than 5 pounds) while Massachusetts had eight out of 31 in this category; along the same lines, 21 out of 25 Connecticut merchants had average credit transactions between zero and one</w:t>
      </w:r>
      <w:r w:rsidR="00404687">
        <w:rPr>
          <w:rFonts w:cs="Times New Roman"/>
          <w:szCs w:val="24"/>
        </w:rPr>
        <w:t xml:space="preserve"> pounds</w:t>
      </w:r>
      <w:r w:rsidR="00E22360">
        <w:rPr>
          <w:rFonts w:cs="Times New Roman"/>
          <w:szCs w:val="24"/>
        </w:rPr>
        <w:t xml:space="preserve">, while only eight of the Massachusetts merchants fit into this classification.  </w:t>
      </w:r>
      <w:r w:rsidR="00B75613">
        <w:rPr>
          <w:rFonts w:cs="Times New Roman"/>
          <w:szCs w:val="24"/>
        </w:rPr>
        <w:t>The general pattern is that the transactions in Massachusetts tended to be larger on average than those in Connecticut, yet the pattern of transactions were similar across colonies.</w:t>
      </w:r>
    </w:p>
    <w:p w:rsidR="00423D0E" w:rsidRDefault="00423D0E" w:rsidP="00423D0E">
      <w:pPr>
        <w:spacing w:line="480" w:lineRule="auto"/>
        <w:jc w:val="both"/>
        <w:rPr>
          <w:rFonts w:cs="Times New Roman"/>
          <w:szCs w:val="24"/>
        </w:rPr>
      </w:pPr>
    </w:p>
    <w:p w:rsidR="00F76260" w:rsidRPr="00F76260" w:rsidRDefault="00F76260" w:rsidP="00423D0E">
      <w:pPr>
        <w:jc w:val="both"/>
        <w:rPr>
          <w:rFonts w:cs="Times New Roman"/>
          <w:i/>
          <w:szCs w:val="24"/>
        </w:rPr>
      </w:pPr>
      <w:r w:rsidRPr="00F76260">
        <w:rPr>
          <w:rFonts w:cs="Times New Roman"/>
          <w:i/>
          <w:szCs w:val="24"/>
        </w:rPr>
        <w:t>Recorded Sales</w:t>
      </w:r>
    </w:p>
    <w:p w:rsidR="00991FAC" w:rsidRDefault="00991FAC" w:rsidP="00991FAC">
      <w:pPr>
        <w:autoSpaceDE w:val="0"/>
        <w:autoSpaceDN w:val="0"/>
        <w:adjustRightInd w:val="0"/>
        <w:spacing w:after="0" w:line="480" w:lineRule="auto"/>
        <w:ind w:firstLine="720"/>
        <w:jc w:val="both"/>
        <w:rPr>
          <w:rFonts w:cs="Times New Roman"/>
          <w:szCs w:val="24"/>
        </w:rPr>
      </w:pPr>
    </w:p>
    <w:p w:rsidR="00991FAC" w:rsidRPr="00482F29" w:rsidRDefault="00991FAC" w:rsidP="00991FAC">
      <w:pPr>
        <w:autoSpaceDE w:val="0"/>
        <w:autoSpaceDN w:val="0"/>
        <w:adjustRightInd w:val="0"/>
        <w:spacing w:after="0" w:line="480" w:lineRule="auto"/>
        <w:jc w:val="center"/>
        <w:rPr>
          <w:rFonts w:cs="Times New Roman"/>
          <w:b/>
          <w:szCs w:val="24"/>
        </w:rPr>
      </w:pPr>
      <w:r w:rsidRPr="00482F29">
        <w:rPr>
          <w:rFonts w:cs="Times New Roman"/>
          <w:b/>
          <w:szCs w:val="24"/>
        </w:rPr>
        <w:t xml:space="preserve">Tables </w:t>
      </w:r>
      <w:r w:rsidR="00775769">
        <w:rPr>
          <w:rFonts w:cs="Times New Roman"/>
          <w:b/>
          <w:szCs w:val="24"/>
        </w:rPr>
        <w:t>5</w:t>
      </w:r>
      <w:r w:rsidR="00775769" w:rsidRPr="00482F29">
        <w:rPr>
          <w:rFonts w:cs="Times New Roman"/>
          <w:b/>
          <w:szCs w:val="24"/>
        </w:rPr>
        <w:t xml:space="preserve"> </w:t>
      </w:r>
      <w:r w:rsidRPr="00482F29">
        <w:rPr>
          <w:rFonts w:cs="Times New Roman"/>
          <w:b/>
          <w:szCs w:val="24"/>
        </w:rPr>
        <w:t xml:space="preserve">and </w:t>
      </w:r>
      <w:r w:rsidR="00775769">
        <w:rPr>
          <w:rFonts w:cs="Times New Roman"/>
          <w:b/>
          <w:szCs w:val="24"/>
        </w:rPr>
        <w:t>6</w:t>
      </w:r>
      <w:r w:rsidR="00775769" w:rsidRPr="00482F29">
        <w:rPr>
          <w:rFonts w:cs="Times New Roman"/>
          <w:b/>
          <w:szCs w:val="24"/>
        </w:rPr>
        <w:t xml:space="preserve"> </w:t>
      </w:r>
      <w:r w:rsidRPr="00482F29">
        <w:rPr>
          <w:rFonts w:cs="Times New Roman"/>
          <w:b/>
          <w:szCs w:val="24"/>
        </w:rPr>
        <w:t>about here</w:t>
      </w:r>
    </w:p>
    <w:p w:rsidR="00991FAC" w:rsidRDefault="00991FAC" w:rsidP="00991FAC">
      <w:pPr>
        <w:autoSpaceDE w:val="0"/>
        <w:autoSpaceDN w:val="0"/>
        <w:adjustRightInd w:val="0"/>
        <w:spacing w:after="0" w:line="480" w:lineRule="auto"/>
        <w:ind w:firstLine="720"/>
        <w:jc w:val="both"/>
        <w:rPr>
          <w:rFonts w:cs="Times New Roman"/>
          <w:szCs w:val="24"/>
        </w:rPr>
      </w:pPr>
    </w:p>
    <w:p w:rsidR="00991FAC" w:rsidRDefault="00991FAC" w:rsidP="00F76260">
      <w:pPr>
        <w:autoSpaceDE w:val="0"/>
        <w:autoSpaceDN w:val="0"/>
        <w:adjustRightInd w:val="0"/>
        <w:spacing w:after="0" w:line="480" w:lineRule="auto"/>
        <w:jc w:val="both"/>
        <w:rPr>
          <w:rFonts w:cs="Times New Roman"/>
          <w:szCs w:val="24"/>
        </w:rPr>
      </w:pPr>
      <w:r>
        <w:rPr>
          <w:rFonts w:cs="Times New Roman"/>
          <w:szCs w:val="24"/>
        </w:rPr>
        <w:t>We</w:t>
      </w:r>
      <w:r w:rsidRPr="007678C3">
        <w:rPr>
          <w:rFonts w:cs="Times New Roman"/>
          <w:szCs w:val="24"/>
        </w:rPr>
        <w:t xml:space="preserve"> present average </w:t>
      </w:r>
      <w:r>
        <w:rPr>
          <w:rFonts w:cs="Times New Roman"/>
          <w:szCs w:val="24"/>
        </w:rPr>
        <w:t xml:space="preserve">sales price in Table </w:t>
      </w:r>
      <w:r w:rsidR="00775769">
        <w:rPr>
          <w:rFonts w:cs="Times New Roman"/>
          <w:szCs w:val="24"/>
        </w:rPr>
        <w:t xml:space="preserve">5 </w:t>
      </w:r>
      <w:r w:rsidRPr="007678C3">
        <w:rPr>
          <w:rFonts w:cs="Times New Roman"/>
          <w:szCs w:val="24"/>
        </w:rPr>
        <w:t xml:space="preserve">and median </w:t>
      </w:r>
      <w:r>
        <w:rPr>
          <w:rFonts w:cs="Times New Roman"/>
          <w:szCs w:val="24"/>
        </w:rPr>
        <w:t>sales price in Table</w:t>
      </w:r>
      <w:r w:rsidRPr="007678C3">
        <w:rPr>
          <w:rFonts w:cs="Times New Roman"/>
          <w:szCs w:val="24"/>
        </w:rPr>
        <w:t xml:space="preserve"> </w:t>
      </w:r>
      <w:r w:rsidR="00775769">
        <w:rPr>
          <w:rFonts w:cs="Times New Roman"/>
          <w:szCs w:val="24"/>
        </w:rPr>
        <w:t xml:space="preserve">6 </w:t>
      </w:r>
      <w:r w:rsidRPr="007678C3">
        <w:rPr>
          <w:rFonts w:cs="Times New Roman"/>
          <w:szCs w:val="24"/>
        </w:rPr>
        <w:t xml:space="preserve">for each </w:t>
      </w:r>
      <w:r>
        <w:rPr>
          <w:rFonts w:cs="Times New Roman"/>
          <w:szCs w:val="24"/>
        </w:rPr>
        <w:t>sale method</w:t>
      </w:r>
      <w:r w:rsidRPr="007678C3">
        <w:rPr>
          <w:rFonts w:cs="Times New Roman"/>
          <w:szCs w:val="24"/>
        </w:rPr>
        <w:t xml:space="preserve">. </w:t>
      </w:r>
      <w:r>
        <w:rPr>
          <w:rFonts w:cs="Times New Roman"/>
          <w:szCs w:val="24"/>
        </w:rPr>
        <w:t>Both tables</w:t>
      </w:r>
      <w:r w:rsidRPr="007678C3">
        <w:rPr>
          <w:rFonts w:cs="Times New Roman"/>
          <w:szCs w:val="24"/>
        </w:rPr>
        <w:t xml:space="preserve"> show the large differences </w:t>
      </w:r>
      <w:r>
        <w:rPr>
          <w:rFonts w:cs="Times New Roman"/>
          <w:szCs w:val="24"/>
        </w:rPr>
        <w:t>in</w:t>
      </w:r>
      <w:r w:rsidRPr="007678C3">
        <w:rPr>
          <w:rFonts w:cs="Times New Roman"/>
          <w:szCs w:val="24"/>
        </w:rPr>
        <w:t xml:space="preserve"> the scale of business </w:t>
      </w:r>
      <w:r>
        <w:rPr>
          <w:rFonts w:cs="Times New Roman"/>
          <w:szCs w:val="24"/>
        </w:rPr>
        <w:t xml:space="preserve">between </w:t>
      </w:r>
      <w:r w:rsidRPr="007678C3">
        <w:rPr>
          <w:rFonts w:cs="Times New Roman"/>
          <w:szCs w:val="24"/>
        </w:rPr>
        <w:t xml:space="preserve">the two colonies. Average </w:t>
      </w:r>
      <w:r>
        <w:rPr>
          <w:rFonts w:cs="Times New Roman"/>
          <w:szCs w:val="24"/>
        </w:rPr>
        <w:t xml:space="preserve">credit </w:t>
      </w:r>
      <w:r w:rsidRPr="007678C3">
        <w:rPr>
          <w:rFonts w:cs="Times New Roman"/>
          <w:szCs w:val="24"/>
        </w:rPr>
        <w:t>in Massachusetts w</w:t>
      </w:r>
      <w:r>
        <w:rPr>
          <w:rFonts w:cs="Times New Roman"/>
          <w:szCs w:val="24"/>
        </w:rPr>
        <w:t>as</w:t>
      </w:r>
      <w:r w:rsidRPr="007678C3">
        <w:rPr>
          <w:rFonts w:cs="Times New Roman"/>
          <w:szCs w:val="24"/>
        </w:rPr>
        <w:t xml:space="preserve"> usually more than ten times greater than th</w:t>
      </w:r>
      <w:r>
        <w:rPr>
          <w:rFonts w:cs="Times New Roman"/>
          <w:szCs w:val="24"/>
        </w:rPr>
        <w:t>at</w:t>
      </w:r>
      <w:r w:rsidRPr="007678C3">
        <w:rPr>
          <w:rFonts w:cs="Times New Roman"/>
          <w:szCs w:val="24"/>
        </w:rPr>
        <w:t xml:space="preserve"> in Connecticut (£13.9 compared to £1.1)</w:t>
      </w:r>
      <w:r>
        <w:rPr>
          <w:rFonts w:cs="Times New Roman"/>
          <w:szCs w:val="24"/>
        </w:rPr>
        <w:t>, while t</w:t>
      </w:r>
      <w:r w:rsidRPr="007678C3">
        <w:rPr>
          <w:rFonts w:cs="Times New Roman"/>
          <w:szCs w:val="24"/>
        </w:rPr>
        <w:t xml:space="preserve">he median amount </w:t>
      </w:r>
      <w:r>
        <w:rPr>
          <w:rFonts w:cs="Times New Roman"/>
          <w:szCs w:val="24"/>
        </w:rPr>
        <w:t>was five times greater.  Recorded c</w:t>
      </w:r>
      <w:r w:rsidRPr="007678C3">
        <w:rPr>
          <w:rFonts w:cs="Times New Roman"/>
          <w:szCs w:val="24"/>
        </w:rPr>
        <w:t xml:space="preserve">ash </w:t>
      </w:r>
      <w:r>
        <w:rPr>
          <w:rFonts w:cs="Times New Roman"/>
          <w:szCs w:val="24"/>
        </w:rPr>
        <w:t>sales</w:t>
      </w:r>
      <w:r w:rsidRPr="007678C3">
        <w:rPr>
          <w:rFonts w:cs="Times New Roman"/>
          <w:szCs w:val="24"/>
        </w:rPr>
        <w:t xml:space="preserve"> in Massachusetts are less than barter, £4.64 compared with £5.92, whereas in Connecticut cash </w:t>
      </w:r>
      <w:r>
        <w:rPr>
          <w:rFonts w:cs="Times New Roman"/>
          <w:szCs w:val="24"/>
        </w:rPr>
        <w:t>sales</w:t>
      </w:r>
      <w:r w:rsidRPr="007678C3">
        <w:rPr>
          <w:rFonts w:cs="Times New Roman"/>
          <w:szCs w:val="24"/>
        </w:rPr>
        <w:t xml:space="preserve"> exceed barter (£3.25 v. £2). Median cash </w:t>
      </w:r>
      <w:r>
        <w:rPr>
          <w:rFonts w:cs="Times New Roman"/>
          <w:szCs w:val="24"/>
        </w:rPr>
        <w:t>sal</w:t>
      </w:r>
      <w:r w:rsidRPr="007678C3">
        <w:rPr>
          <w:rFonts w:cs="Times New Roman"/>
          <w:szCs w:val="24"/>
        </w:rPr>
        <w:t xml:space="preserve">e values in both colonies are larger than barter values. Massachusetts cash </w:t>
      </w:r>
      <w:r>
        <w:rPr>
          <w:rFonts w:cs="Times New Roman"/>
          <w:szCs w:val="24"/>
        </w:rPr>
        <w:t>sales</w:t>
      </w:r>
      <w:r w:rsidRPr="007678C3">
        <w:rPr>
          <w:rFonts w:cs="Times New Roman"/>
          <w:szCs w:val="24"/>
        </w:rPr>
        <w:t xml:space="preserve"> are roughly five times Connecticut values (£2.24 v. £0.526) and barter values are between seven and eight times greater in Massachusetts (£1.44 v. £0.185). </w:t>
      </w:r>
    </w:p>
    <w:p w:rsidR="00991FAC" w:rsidRDefault="00991FAC" w:rsidP="00991FAC">
      <w:pPr>
        <w:autoSpaceDE w:val="0"/>
        <w:autoSpaceDN w:val="0"/>
        <w:adjustRightInd w:val="0"/>
        <w:spacing w:after="0" w:line="480" w:lineRule="auto"/>
        <w:ind w:firstLine="720"/>
        <w:jc w:val="both"/>
        <w:rPr>
          <w:rFonts w:cs="Times New Roman"/>
          <w:szCs w:val="24"/>
        </w:rPr>
      </w:pPr>
      <w:r>
        <w:rPr>
          <w:rFonts w:cs="Times New Roman"/>
          <w:szCs w:val="24"/>
        </w:rPr>
        <w:t xml:space="preserve">To put these sales numbers in context, consider the financial estimates, in </w:t>
      </w:r>
      <w:r w:rsidR="003A38F2">
        <w:rPr>
          <w:rFonts w:cs="Times New Roman"/>
          <w:szCs w:val="24"/>
        </w:rPr>
        <w:t>L</w:t>
      </w:r>
      <w:r>
        <w:rPr>
          <w:rFonts w:cs="Times New Roman"/>
          <w:szCs w:val="24"/>
        </w:rPr>
        <w:t xml:space="preserve">awful </w:t>
      </w:r>
      <w:r w:rsidR="003A38F2">
        <w:rPr>
          <w:rFonts w:cs="Times New Roman"/>
          <w:szCs w:val="24"/>
        </w:rPr>
        <w:t>M</w:t>
      </w:r>
      <w:r>
        <w:rPr>
          <w:rFonts w:cs="Times New Roman"/>
          <w:szCs w:val="24"/>
        </w:rPr>
        <w:t xml:space="preserve">oney for 1771, that </w:t>
      </w:r>
      <w:r w:rsidRPr="007678C3">
        <w:rPr>
          <w:rFonts w:cs="Times New Roman"/>
          <w:szCs w:val="24"/>
        </w:rPr>
        <w:t xml:space="preserve">Jones </w:t>
      </w:r>
      <w:r>
        <w:rPr>
          <w:rFonts w:cs="Times New Roman"/>
          <w:szCs w:val="24"/>
        </w:rPr>
        <w:t xml:space="preserve">(1980) </w:t>
      </w:r>
      <w:r w:rsidRPr="007678C3">
        <w:rPr>
          <w:rFonts w:cs="Times New Roman"/>
          <w:szCs w:val="24"/>
        </w:rPr>
        <w:t xml:space="preserve">and Perkins </w:t>
      </w:r>
      <w:r>
        <w:rPr>
          <w:rFonts w:cs="Times New Roman"/>
          <w:szCs w:val="24"/>
        </w:rPr>
        <w:t xml:space="preserve">(1988, 218) provide for New Englanders: average physical wealth of </w:t>
      </w:r>
      <w:r w:rsidRPr="007678C3">
        <w:rPr>
          <w:rFonts w:cs="Times New Roman"/>
          <w:szCs w:val="24"/>
        </w:rPr>
        <w:t>£</w:t>
      </w:r>
      <w:r>
        <w:rPr>
          <w:rFonts w:cs="Times New Roman"/>
          <w:szCs w:val="24"/>
        </w:rPr>
        <w:t>124.95</w:t>
      </w:r>
      <w:r w:rsidRPr="007678C3">
        <w:rPr>
          <w:rFonts w:cs="Times New Roman"/>
          <w:szCs w:val="24"/>
        </w:rPr>
        <w:t xml:space="preserve">, </w:t>
      </w:r>
      <w:r>
        <w:rPr>
          <w:rFonts w:cs="Times New Roman"/>
          <w:szCs w:val="24"/>
        </w:rPr>
        <w:t xml:space="preserve">median wealth of </w:t>
      </w:r>
      <w:r w:rsidRPr="007678C3">
        <w:rPr>
          <w:rFonts w:cs="Times New Roman"/>
          <w:szCs w:val="24"/>
        </w:rPr>
        <w:t>£</w:t>
      </w:r>
      <w:r>
        <w:rPr>
          <w:rFonts w:cs="Times New Roman"/>
          <w:szCs w:val="24"/>
        </w:rPr>
        <w:t xml:space="preserve">57.35, and mean income of </w:t>
      </w:r>
      <w:r w:rsidRPr="007678C3">
        <w:rPr>
          <w:rFonts w:cs="Times New Roman"/>
          <w:szCs w:val="24"/>
        </w:rPr>
        <w:t>£</w:t>
      </w:r>
      <w:r>
        <w:rPr>
          <w:rFonts w:cs="Times New Roman"/>
          <w:szCs w:val="24"/>
        </w:rPr>
        <w:t xml:space="preserve">8.4.   Simply put, </w:t>
      </w:r>
      <w:r w:rsidRPr="007678C3">
        <w:rPr>
          <w:rFonts w:cs="Times New Roman"/>
          <w:szCs w:val="24"/>
        </w:rPr>
        <w:t xml:space="preserve">the size of average transactions values in both colonies is impressive. The average Massachusetts </w:t>
      </w:r>
      <w:r>
        <w:rPr>
          <w:rFonts w:cs="Times New Roman"/>
          <w:szCs w:val="24"/>
        </w:rPr>
        <w:t>credit sale</w:t>
      </w:r>
      <w:r w:rsidRPr="007678C3">
        <w:rPr>
          <w:rFonts w:cs="Times New Roman"/>
          <w:szCs w:val="24"/>
        </w:rPr>
        <w:t xml:space="preserve"> of £13.</w:t>
      </w:r>
      <w:r>
        <w:rPr>
          <w:rFonts w:cs="Times New Roman"/>
          <w:szCs w:val="24"/>
        </w:rPr>
        <w:t>733</w:t>
      </w:r>
      <w:r w:rsidRPr="007678C3">
        <w:rPr>
          <w:rFonts w:cs="Times New Roman"/>
          <w:szCs w:val="24"/>
        </w:rPr>
        <w:t xml:space="preserve"> </w:t>
      </w:r>
      <w:r>
        <w:rPr>
          <w:rFonts w:cs="Times New Roman"/>
          <w:szCs w:val="24"/>
        </w:rPr>
        <w:t>L</w:t>
      </w:r>
      <w:r w:rsidRPr="007678C3">
        <w:rPr>
          <w:rFonts w:cs="Times New Roman"/>
          <w:szCs w:val="24"/>
        </w:rPr>
        <w:t xml:space="preserve">awful </w:t>
      </w:r>
      <w:r>
        <w:rPr>
          <w:rFonts w:cs="Times New Roman"/>
          <w:szCs w:val="24"/>
        </w:rPr>
        <w:t>M</w:t>
      </w:r>
      <w:r w:rsidRPr="007678C3">
        <w:rPr>
          <w:rFonts w:cs="Times New Roman"/>
          <w:szCs w:val="24"/>
        </w:rPr>
        <w:t xml:space="preserve">oney </w:t>
      </w:r>
      <w:r>
        <w:rPr>
          <w:rFonts w:cs="Times New Roman"/>
          <w:szCs w:val="24"/>
        </w:rPr>
        <w:t>exceeds</w:t>
      </w:r>
      <w:r w:rsidRPr="007678C3">
        <w:rPr>
          <w:rFonts w:cs="Times New Roman"/>
          <w:szCs w:val="24"/>
        </w:rPr>
        <w:t xml:space="preserve"> the mean income estimate and </w:t>
      </w:r>
      <w:r>
        <w:rPr>
          <w:rFonts w:cs="Times New Roman"/>
          <w:szCs w:val="24"/>
        </w:rPr>
        <w:t>is almost</w:t>
      </w:r>
      <w:r w:rsidRPr="007678C3">
        <w:rPr>
          <w:rFonts w:cs="Times New Roman"/>
          <w:szCs w:val="24"/>
        </w:rPr>
        <w:t xml:space="preserve"> one</w:t>
      </w:r>
      <w:r>
        <w:rPr>
          <w:rFonts w:cs="Times New Roman"/>
          <w:szCs w:val="24"/>
        </w:rPr>
        <w:t>-</w:t>
      </w:r>
      <w:r w:rsidRPr="007678C3">
        <w:rPr>
          <w:rFonts w:cs="Times New Roman"/>
          <w:szCs w:val="24"/>
        </w:rPr>
        <w:t>f</w:t>
      </w:r>
      <w:r>
        <w:rPr>
          <w:rFonts w:cs="Times New Roman"/>
          <w:szCs w:val="24"/>
        </w:rPr>
        <w:t>our</w:t>
      </w:r>
      <w:r w:rsidRPr="007678C3">
        <w:rPr>
          <w:rFonts w:cs="Times New Roman"/>
          <w:szCs w:val="24"/>
        </w:rPr>
        <w:t xml:space="preserve">th of median wealth </w:t>
      </w:r>
      <w:r>
        <w:rPr>
          <w:rFonts w:cs="Times New Roman"/>
          <w:szCs w:val="24"/>
        </w:rPr>
        <w:t xml:space="preserve">- </w:t>
      </w:r>
      <w:r w:rsidRPr="007678C3">
        <w:rPr>
          <w:rFonts w:cs="Times New Roman"/>
          <w:szCs w:val="24"/>
        </w:rPr>
        <w:t xml:space="preserve">for only an average credit transaction. </w:t>
      </w:r>
      <w:r>
        <w:rPr>
          <w:rFonts w:cs="Times New Roman"/>
          <w:szCs w:val="24"/>
        </w:rPr>
        <w:t xml:space="preserve">Since our study includes both large merchants and small merchants, the median transaction may be more representative.  Thus, focusing only on the median recorded sales in Table </w:t>
      </w:r>
      <w:r w:rsidR="00775769">
        <w:rPr>
          <w:rFonts w:cs="Times New Roman"/>
          <w:szCs w:val="24"/>
        </w:rPr>
        <w:t>6</w:t>
      </w:r>
      <w:r>
        <w:rPr>
          <w:rFonts w:cs="Times New Roman"/>
          <w:szCs w:val="24"/>
        </w:rPr>
        <w:t>, the m</w:t>
      </w:r>
      <w:r w:rsidRPr="007678C3">
        <w:rPr>
          <w:rFonts w:cs="Times New Roman"/>
          <w:szCs w:val="24"/>
        </w:rPr>
        <w:t xml:space="preserve">edian credit </w:t>
      </w:r>
      <w:r>
        <w:rPr>
          <w:rFonts w:cs="Times New Roman"/>
          <w:szCs w:val="24"/>
        </w:rPr>
        <w:t>sale</w:t>
      </w:r>
      <w:r w:rsidRPr="007678C3">
        <w:rPr>
          <w:rFonts w:cs="Times New Roman"/>
          <w:szCs w:val="24"/>
        </w:rPr>
        <w:t xml:space="preserve"> in Connecticut w</w:t>
      </w:r>
      <w:r>
        <w:rPr>
          <w:rFonts w:cs="Times New Roman"/>
          <w:szCs w:val="24"/>
        </w:rPr>
        <w:t>as nearly 2%</w:t>
      </w:r>
      <w:r w:rsidRPr="007678C3">
        <w:rPr>
          <w:rFonts w:cs="Times New Roman"/>
          <w:szCs w:val="24"/>
        </w:rPr>
        <w:t xml:space="preserve"> of mean annual income</w:t>
      </w:r>
      <w:r>
        <w:rPr>
          <w:rFonts w:cs="Times New Roman"/>
          <w:szCs w:val="24"/>
        </w:rPr>
        <w:t>, while it was</w:t>
      </w:r>
      <w:r w:rsidRPr="007678C3">
        <w:rPr>
          <w:rFonts w:cs="Times New Roman"/>
          <w:szCs w:val="24"/>
        </w:rPr>
        <w:t xml:space="preserve"> </w:t>
      </w:r>
      <w:r>
        <w:rPr>
          <w:rFonts w:cs="Times New Roman"/>
          <w:szCs w:val="24"/>
        </w:rPr>
        <w:t xml:space="preserve">over 10% </w:t>
      </w:r>
      <w:r w:rsidRPr="007678C3">
        <w:rPr>
          <w:rFonts w:cs="Times New Roman"/>
          <w:szCs w:val="24"/>
        </w:rPr>
        <w:t xml:space="preserve">in Massachusetts. Parts of the Massachusetts sample are clearly more developed and handling larger exchanges than rural Connecticut. </w:t>
      </w:r>
    </w:p>
    <w:p w:rsidR="00991FAC" w:rsidRDefault="00991FAC" w:rsidP="00991FAC">
      <w:pPr>
        <w:autoSpaceDE w:val="0"/>
        <w:autoSpaceDN w:val="0"/>
        <w:adjustRightInd w:val="0"/>
        <w:spacing w:after="0" w:line="480" w:lineRule="auto"/>
        <w:jc w:val="both"/>
        <w:rPr>
          <w:rFonts w:cs="Times New Roman"/>
          <w:szCs w:val="24"/>
        </w:rPr>
      </w:pPr>
    </w:p>
    <w:p w:rsidR="00991FAC" w:rsidRPr="00482F29" w:rsidRDefault="00991FAC" w:rsidP="00991FAC">
      <w:pPr>
        <w:autoSpaceDE w:val="0"/>
        <w:autoSpaceDN w:val="0"/>
        <w:adjustRightInd w:val="0"/>
        <w:spacing w:after="0" w:line="480" w:lineRule="auto"/>
        <w:jc w:val="center"/>
        <w:rPr>
          <w:rFonts w:cs="Times New Roman"/>
          <w:b/>
          <w:szCs w:val="24"/>
        </w:rPr>
      </w:pPr>
      <w:r w:rsidRPr="00482F29">
        <w:rPr>
          <w:rFonts w:cs="Times New Roman"/>
          <w:b/>
          <w:szCs w:val="24"/>
        </w:rPr>
        <w:t xml:space="preserve">Table </w:t>
      </w:r>
      <w:r w:rsidR="00775769">
        <w:rPr>
          <w:rFonts w:cs="Times New Roman"/>
          <w:b/>
          <w:szCs w:val="24"/>
        </w:rPr>
        <w:t>7</w:t>
      </w:r>
      <w:r w:rsidR="00775769" w:rsidRPr="00482F29">
        <w:rPr>
          <w:rFonts w:cs="Times New Roman"/>
          <w:b/>
          <w:szCs w:val="24"/>
        </w:rPr>
        <w:t xml:space="preserve"> </w:t>
      </w:r>
      <w:r w:rsidRPr="00482F29">
        <w:rPr>
          <w:rFonts w:cs="Times New Roman"/>
          <w:b/>
          <w:szCs w:val="24"/>
        </w:rPr>
        <w:t>about here</w:t>
      </w:r>
    </w:p>
    <w:p w:rsidR="00991FAC" w:rsidRPr="007678C3" w:rsidRDefault="00991FAC" w:rsidP="00991FAC">
      <w:pPr>
        <w:autoSpaceDE w:val="0"/>
        <w:autoSpaceDN w:val="0"/>
        <w:adjustRightInd w:val="0"/>
        <w:spacing w:after="0" w:line="480" w:lineRule="auto"/>
        <w:jc w:val="both"/>
        <w:rPr>
          <w:rFonts w:cs="Times New Roman"/>
          <w:szCs w:val="24"/>
        </w:rPr>
      </w:pPr>
    </w:p>
    <w:p w:rsidR="00991FAC" w:rsidRDefault="00991FAC" w:rsidP="00991FAC">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To further assess the frequency of each category, </w:t>
      </w:r>
      <w:r>
        <w:rPr>
          <w:rFonts w:cs="Times New Roman"/>
          <w:szCs w:val="24"/>
        </w:rPr>
        <w:t>we</w:t>
      </w:r>
      <w:r w:rsidRPr="007678C3">
        <w:rPr>
          <w:rFonts w:cs="Times New Roman"/>
          <w:szCs w:val="24"/>
        </w:rPr>
        <w:t xml:space="preserve"> calculate the share of the total amount </w:t>
      </w:r>
      <w:r>
        <w:rPr>
          <w:rFonts w:cs="Times New Roman"/>
          <w:szCs w:val="24"/>
        </w:rPr>
        <w:t xml:space="preserve">(in £) </w:t>
      </w:r>
      <w:r w:rsidRPr="007678C3">
        <w:rPr>
          <w:rFonts w:cs="Times New Roman"/>
          <w:szCs w:val="24"/>
        </w:rPr>
        <w:t xml:space="preserve">of </w:t>
      </w:r>
      <w:r>
        <w:rPr>
          <w:rFonts w:cs="Times New Roman"/>
          <w:szCs w:val="24"/>
        </w:rPr>
        <w:t xml:space="preserve">recorded </w:t>
      </w:r>
      <w:r w:rsidR="00901BE2">
        <w:rPr>
          <w:rFonts w:cs="Times New Roman"/>
          <w:szCs w:val="24"/>
        </w:rPr>
        <w:t>sales</w:t>
      </w:r>
      <w:r w:rsidR="00901BE2" w:rsidRPr="007678C3">
        <w:rPr>
          <w:rFonts w:cs="Times New Roman"/>
          <w:szCs w:val="24"/>
        </w:rPr>
        <w:t xml:space="preserve"> and</w:t>
      </w:r>
      <w:r w:rsidRPr="007678C3">
        <w:rPr>
          <w:rFonts w:cs="Times New Roman"/>
          <w:szCs w:val="24"/>
        </w:rPr>
        <w:t xml:space="preserve"> present them in Table </w:t>
      </w:r>
      <w:r w:rsidR="00775769">
        <w:rPr>
          <w:rFonts w:cs="Times New Roman"/>
          <w:szCs w:val="24"/>
        </w:rPr>
        <w:t>7</w:t>
      </w:r>
      <w:r w:rsidRPr="007678C3">
        <w:rPr>
          <w:rFonts w:cs="Times New Roman"/>
          <w:szCs w:val="24"/>
        </w:rPr>
        <w:t xml:space="preserve">. Credit was the major method </w:t>
      </w:r>
      <w:r>
        <w:rPr>
          <w:rFonts w:cs="Times New Roman"/>
          <w:szCs w:val="24"/>
        </w:rPr>
        <w:t xml:space="preserve">used </w:t>
      </w:r>
      <w:r w:rsidRPr="007678C3">
        <w:rPr>
          <w:rFonts w:cs="Times New Roman"/>
          <w:szCs w:val="24"/>
        </w:rPr>
        <w:t xml:space="preserve">for purchasing goods in both colonies with well over 96% of the total value of </w:t>
      </w:r>
      <w:r>
        <w:rPr>
          <w:rFonts w:cs="Times New Roman"/>
          <w:szCs w:val="24"/>
        </w:rPr>
        <w:t>sales</w:t>
      </w:r>
      <w:r w:rsidRPr="007678C3">
        <w:rPr>
          <w:rFonts w:cs="Times New Roman"/>
          <w:szCs w:val="24"/>
        </w:rPr>
        <w:t xml:space="preserve"> in each, though it declines by around 2% for Connecticut. </w:t>
      </w:r>
      <w:r>
        <w:rPr>
          <w:rFonts w:cs="Times New Roman"/>
          <w:szCs w:val="24"/>
        </w:rPr>
        <w:t>Recorded c</w:t>
      </w:r>
      <w:r w:rsidRPr="007678C3">
        <w:rPr>
          <w:rFonts w:cs="Times New Roman"/>
          <w:szCs w:val="24"/>
        </w:rPr>
        <w:t xml:space="preserve">redit </w:t>
      </w:r>
      <w:r>
        <w:rPr>
          <w:rFonts w:cs="Times New Roman"/>
          <w:szCs w:val="24"/>
        </w:rPr>
        <w:t>sal</w:t>
      </w:r>
      <w:r w:rsidRPr="007678C3">
        <w:rPr>
          <w:rFonts w:cs="Times New Roman"/>
          <w:szCs w:val="24"/>
        </w:rPr>
        <w:t xml:space="preserve">es in Massachusetts were 99.5% of the total value of </w:t>
      </w:r>
      <w:r>
        <w:rPr>
          <w:rFonts w:cs="Times New Roman"/>
          <w:szCs w:val="24"/>
        </w:rPr>
        <w:t>sales</w:t>
      </w:r>
      <w:r w:rsidRPr="007678C3">
        <w:rPr>
          <w:rFonts w:cs="Times New Roman"/>
          <w:szCs w:val="24"/>
        </w:rPr>
        <w:t xml:space="preserve">. </w:t>
      </w:r>
      <w:r>
        <w:rPr>
          <w:rFonts w:cs="Times New Roman"/>
          <w:szCs w:val="24"/>
        </w:rPr>
        <w:t>Recorded c</w:t>
      </w:r>
      <w:r w:rsidRPr="007678C3">
        <w:rPr>
          <w:rFonts w:cs="Times New Roman"/>
          <w:szCs w:val="24"/>
        </w:rPr>
        <w:t xml:space="preserve">ash </w:t>
      </w:r>
      <w:r>
        <w:rPr>
          <w:rFonts w:cs="Times New Roman"/>
          <w:szCs w:val="24"/>
        </w:rPr>
        <w:t>sal</w:t>
      </w:r>
      <w:r w:rsidRPr="007678C3">
        <w:rPr>
          <w:rFonts w:cs="Times New Roman"/>
          <w:szCs w:val="24"/>
        </w:rPr>
        <w:t xml:space="preserve">es in Connecticut were around 3% of value, about ten times the Massachusetts percentage. The barter percentage in Connecticut is </w:t>
      </w:r>
      <w:r w:rsidR="00747D20">
        <w:rPr>
          <w:rFonts w:cs="Times New Roman"/>
          <w:szCs w:val="24"/>
        </w:rPr>
        <w:t xml:space="preserve">three </w:t>
      </w:r>
      <w:r w:rsidRPr="007678C3">
        <w:rPr>
          <w:rFonts w:cs="Times New Roman"/>
          <w:szCs w:val="24"/>
        </w:rPr>
        <w:t xml:space="preserve">times the Massachusetts value. </w:t>
      </w:r>
      <w:r>
        <w:rPr>
          <w:rFonts w:cs="Times New Roman"/>
          <w:szCs w:val="24"/>
        </w:rPr>
        <w:t xml:space="preserve">Owing to the small size of the recorded contemporaneous cash and barter sales, it remains an open question why merchants chose to record these </w:t>
      </w:r>
      <w:r w:rsidR="00901BE2">
        <w:rPr>
          <w:rFonts w:cs="Times New Roman"/>
          <w:szCs w:val="24"/>
        </w:rPr>
        <w:t>contemporaneous</w:t>
      </w:r>
      <w:r>
        <w:rPr>
          <w:rFonts w:cs="Times New Roman"/>
          <w:szCs w:val="24"/>
        </w:rPr>
        <w:t xml:space="preserve"> cash and barter transactions.  In any event, c</w:t>
      </w:r>
      <w:r w:rsidRPr="007678C3">
        <w:rPr>
          <w:rFonts w:cs="Times New Roman"/>
          <w:szCs w:val="24"/>
        </w:rPr>
        <w:t xml:space="preserve">redit was a vital way to </w:t>
      </w:r>
      <w:r>
        <w:rPr>
          <w:rFonts w:cs="Times New Roman"/>
          <w:szCs w:val="24"/>
        </w:rPr>
        <w:t>sell</w:t>
      </w:r>
      <w:r w:rsidRPr="007678C3">
        <w:rPr>
          <w:rFonts w:cs="Times New Roman"/>
          <w:szCs w:val="24"/>
        </w:rPr>
        <w:t xml:space="preserve"> in both colonies, in amounts that make claims of credit’s ubiquity valid.</w:t>
      </w:r>
    </w:p>
    <w:p w:rsidR="00991FAC" w:rsidRDefault="00991FAC" w:rsidP="00991FAC">
      <w:pPr>
        <w:autoSpaceDE w:val="0"/>
        <w:autoSpaceDN w:val="0"/>
        <w:adjustRightInd w:val="0"/>
        <w:spacing w:after="0" w:line="480" w:lineRule="auto"/>
        <w:jc w:val="both"/>
        <w:rPr>
          <w:rFonts w:cs="Times New Roman"/>
          <w:szCs w:val="24"/>
        </w:rPr>
      </w:pPr>
    </w:p>
    <w:p w:rsidR="00991FAC" w:rsidRPr="003D5F48" w:rsidRDefault="00F76260" w:rsidP="00991FAC">
      <w:pPr>
        <w:keepNext/>
        <w:widowControl w:val="0"/>
        <w:autoSpaceDE w:val="0"/>
        <w:autoSpaceDN w:val="0"/>
        <w:adjustRightInd w:val="0"/>
        <w:spacing w:after="0" w:line="480" w:lineRule="auto"/>
        <w:jc w:val="both"/>
        <w:rPr>
          <w:rFonts w:cs="Times New Roman"/>
          <w:i/>
          <w:szCs w:val="24"/>
        </w:rPr>
      </w:pPr>
      <w:r>
        <w:rPr>
          <w:rFonts w:cs="Times New Roman"/>
          <w:i/>
          <w:szCs w:val="24"/>
        </w:rPr>
        <w:t xml:space="preserve">Recorded </w:t>
      </w:r>
      <w:r w:rsidR="00991FAC" w:rsidRPr="003D5F48">
        <w:rPr>
          <w:rFonts w:cs="Times New Roman"/>
          <w:i/>
          <w:szCs w:val="24"/>
        </w:rPr>
        <w:t>Repayments</w:t>
      </w:r>
    </w:p>
    <w:p w:rsidR="00991FAC" w:rsidRDefault="00991FAC" w:rsidP="00991FAC">
      <w:pPr>
        <w:autoSpaceDE w:val="0"/>
        <w:autoSpaceDN w:val="0"/>
        <w:adjustRightInd w:val="0"/>
        <w:spacing w:after="0" w:line="480" w:lineRule="auto"/>
        <w:jc w:val="both"/>
        <w:rPr>
          <w:rFonts w:cs="Times New Roman"/>
          <w:szCs w:val="24"/>
        </w:rPr>
      </w:pPr>
      <w:r w:rsidRPr="007678C3">
        <w:rPr>
          <w:rFonts w:cs="Times New Roman"/>
          <w:szCs w:val="24"/>
        </w:rPr>
        <w:t xml:space="preserve">The same </w:t>
      </w:r>
      <w:r>
        <w:rPr>
          <w:rFonts w:cs="Times New Roman"/>
          <w:szCs w:val="24"/>
        </w:rPr>
        <w:t xml:space="preserve">methodology </w:t>
      </w:r>
      <w:r w:rsidRPr="007678C3">
        <w:rPr>
          <w:rFonts w:cs="Times New Roman"/>
          <w:szCs w:val="24"/>
        </w:rPr>
        <w:t xml:space="preserve">applied to </w:t>
      </w:r>
      <w:r>
        <w:rPr>
          <w:rFonts w:cs="Times New Roman"/>
          <w:szCs w:val="24"/>
        </w:rPr>
        <w:t>recorded sales</w:t>
      </w:r>
      <w:r w:rsidRPr="007678C3">
        <w:rPr>
          <w:rFonts w:cs="Times New Roman"/>
          <w:szCs w:val="24"/>
        </w:rPr>
        <w:t xml:space="preserve"> can be applied to </w:t>
      </w:r>
      <w:r>
        <w:rPr>
          <w:rFonts w:cs="Times New Roman"/>
          <w:szCs w:val="24"/>
        </w:rPr>
        <w:t>re</w:t>
      </w:r>
      <w:r w:rsidRPr="007678C3">
        <w:rPr>
          <w:rFonts w:cs="Times New Roman"/>
          <w:szCs w:val="24"/>
        </w:rPr>
        <w:t xml:space="preserve">payments. Tables </w:t>
      </w:r>
      <w:r w:rsidR="00775769">
        <w:rPr>
          <w:rFonts w:cs="Times New Roman"/>
          <w:szCs w:val="24"/>
        </w:rPr>
        <w:t>8</w:t>
      </w:r>
      <w:r w:rsidR="00775769" w:rsidRPr="007678C3">
        <w:rPr>
          <w:rFonts w:cs="Times New Roman"/>
          <w:szCs w:val="24"/>
        </w:rPr>
        <w:t xml:space="preserve"> </w:t>
      </w:r>
      <w:r w:rsidRPr="007678C3">
        <w:rPr>
          <w:rFonts w:cs="Times New Roman"/>
          <w:szCs w:val="24"/>
        </w:rPr>
        <w:t xml:space="preserve">and </w:t>
      </w:r>
      <w:r w:rsidR="00775769">
        <w:rPr>
          <w:rFonts w:cs="Times New Roman"/>
          <w:szCs w:val="24"/>
        </w:rPr>
        <w:t>9</w:t>
      </w:r>
      <w:r w:rsidR="00775769" w:rsidRPr="007678C3">
        <w:rPr>
          <w:rFonts w:cs="Times New Roman"/>
          <w:szCs w:val="24"/>
        </w:rPr>
        <w:t xml:space="preserve"> </w:t>
      </w:r>
      <w:r w:rsidRPr="007678C3">
        <w:rPr>
          <w:rFonts w:cs="Times New Roman"/>
          <w:szCs w:val="24"/>
        </w:rPr>
        <w:t xml:space="preserve">present the average and median amounts for </w:t>
      </w:r>
      <w:r>
        <w:rPr>
          <w:rFonts w:cs="Times New Roman"/>
          <w:szCs w:val="24"/>
        </w:rPr>
        <w:t>re</w:t>
      </w:r>
      <w:r w:rsidRPr="007678C3">
        <w:rPr>
          <w:rFonts w:cs="Times New Roman"/>
          <w:szCs w:val="24"/>
        </w:rPr>
        <w:t xml:space="preserve">payments in £ </w:t>
      </w:r>
      <w:r>
        <w:rPr>
          <w:rFonts w:cs="Times New Roman"/>
          <w:szCs w:val="24"/>
        </w:rPr>
        <w:t>L</w:t>
      </w:r>
      <w:r w:rsidRPr="007678C3">
        <w:rPr>
          <w:rFonts w:cs="Times New Roman"/>
          <w:szCs w:val="24"/>
        </w:rPr>
        <w:t xml:space="preserve">awful </w:t>
      </w:r>
      <w:r>
        <w:rPr>
          <w:rFonts w:cs="Times New Roman"/>
          <w:szCs w:val="24"/>
        </w:rPr>
        <w:t>M</w:t>
      </w:r>
      <w:r w:rsidRPr="007678C3">
        <w:rPr>
          <w:rFonts w:cs="Times New Roman"/>
          <w:szCs w:val="24"/>
        </w:rPr>
        <w:t xml:space="preserve">oney </w:t>
      </w:r>
      <w:r>
        <w:rPr>
          <w:rFonts w:cs="Times New Roman"/>
          <w:szCs w:val="24"/>
        </w:rPr>
        <w:t>(1771).</w:t>
      </w:r>
    </w:p>
    <w:p w:rsidR="00991FAC" w:rsidRDefault="00991FAC" w:rsidP="00991FAC">
      <w:pPr>
        <w:autoSpaceDE w:val="0"/>
        <w:autoSpaceDN w:val="0"/>
        <w:adjustRightInd w:val="0"/>
        <w:spacing w:after="0" w:line="480" w:lineRule="auto"/>
        <w:jc w:val="both"/>
        <w:rPr>
          <w:rFonts w:cs="Times New Roman"/>
          <w:szCs w:val="24"/>
        </w:rPr>
      </w:pPr>
    </w:p>
    <w:p w:rsidR="00991FAC" w:rsidRPr="00D84E16" w:rsidRDefault="00991FAC" w:rsidP="00991FAC">
      <w:pPr>
        <w:autoSpaceDE w:val="0"/>
        <w:autoSpaceDN w:val="0"/>
        <w:adjustRightInd w:val="0"/>
        <w:spacing w:after="0" w:line="480" w:lineRule="auto"/>
        <w:jc w:val="center"/>
        <w:rPr>
          <w:rFonts w:cs="Times New Roman"/>
          <w:b/>
          <w:szCs w:val="24"/>
        </w:rPr>
      </w:pPr>
      <w:r w:rsidRPr="00D84E16">
        <w:rPr>
          <w:rFonts w:cs="Times New Roman"/>
          <w:b/>
          <w:szCs w:val="24"/>
        </w:rPr>
        <w:t xml:space="preserve">Tables </w:t>
      </w:r>
      <w:r w:rsidR="00775769">
        <w:rPr>
          <w:rFonts w:cs="Times New Roman"/>
          <w:b/>
          <w:szCs w:val="24"/>
        </w:rPr>
        <w:t>8</w:t>
      </w:r>
      <w:r w:rsidR="00775769" w:rsidRPr="00D84E16">
        <w:rPr>
          <w:rFonts w:cs="Times New Roman"/>
          <w:b/>
          <w:szCs w:val="24"/>
        </w:rPr>
        <w:t xml:space="preserve"> </w:t>
      </w:r>
      <w:r w:rsidRPr="00D84E16">
        <w:rPr>
          <w:rFonts w:cs="Times New Roman"/>
          <w:b/>
          <w:szCs w:val="24"/>
        </w:rPr>
        <w:t xml:space="preserve">and </w:t>
      </w:r>
      <w:r w:rsidR="00775769">
        <w:rPr>
          <w:rFonts w:cs="Times New Roman"/>
          <w:b/>
          <w:szCs w:val="24"/>
        </w:rPr>
        <w:t>9</w:t>
      </w:r>
      <w:r w:rsidR="00775769" w:rsidRPr="00D84E16">
        <w:rPr>
          <w:rFonts w:cs="Times New Roman"/>
          <w:b/>
          <w:szCs w:val="24"/>
        </w:rPr>
        <w:t xml:space="preserve"> </w:t>
      </w:r>
      <w:r w:rsidRPr="00D84E16">
        <w:rPr>
          <w:rFonts w:cs="Times New Roman"/>
          <w:b/>
          <w:szCs w:val="24"/>
        </w:rPr>
        <w:t>about here</w:t>
      </w:r>
    </w:p>
    <w:p w:rsidR="00991FAC" w:rsidRPr="007678C3" w:rsidRDefault="00991FAC" w:rsidP="00991FAC">
      <w:pPr>
        <w:autoSpaceDE w:val="0"/>
        <w:autoSpaceDN w:val="0"/>
        <w:adjustRightInd w:val="0"/>
        <w:spacing w:after="0" w:line="480" w:lineRule="auto"/>
        <w:jc w:val="both"/>
        <w:rPr>
          <w:rFonts w:cs="Times New Roman"/>
          <w:szCs w:val="24"/>
        </w:rPr>
      </w:pPr>
    </w:p>
    <w:p w:rsidR="00991FAC" w:rsidRDefault="00991FAC" w:rsidP="00991FAC">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Average </w:t>
      </w:r>
      <w:r>
        <w:rPr>
          <w:rFonts w:cs="Times New Roman"/>
          <w:szCs w:val="24"/>
        </w:rPr>
        <w:t>re</w:t>
      </w:r>
      <w:r w:rsidRPr="007678C3">
        <w:rPr>
          <w:rFonts w:cs="Times New Roman"/>
          <w:szCs w:val="24"/>
        </w:rPr>
        <w:t>payments in Massachusetts were far greater than those in Connecticut</w:t>
      </w:r>
      <w:r>
        <w:rPr>
          <w:rFonts w:cs="Times New Roman"/>
          <w:szCs w:val="24"/>
        </w:rPr>
        <w:t>,</w:t>
      </w:r>
      <w:r w:rsidRPr="007678C3">
        <w:rPr>
          <w:rFonts w:cs="Times New Roman"/>
          <w:szCs w:val="24"/>
        </w:rPr>
        <w:t xml:space="preserve"> confirming the differences in development. The average cash </w:t>
      </w:r>
      <w:r>
        <w:rPr>
          <w:rFonts w:cs="Times New Roman"/>
          <w:szCs w:val="24"/>
        </w:rPr>
        <w:t>re</w:t>
      </w:r>
      <w:r w:rsidRPr="007678C3">
        <w:rPr>
          <w:rFonts w:cs="Times New Roman"/>
          <w:szCs w:val="24"/>
        </w:rPr>
        <w:t>payment in Massachusetts was seventeen times larger than in Connecticut, £51 compared to £3</w:t>
      </w:r>
      <w:r>
        <w:rPr>
          <w:rFonts w:cs="Times New Roman"/>
          <w:szCs w:val="24"/>
        </w:rPr>
        <w:t xml:space="preserve">, while </w:t>
      </w:r>
      <w:r w:rsidRPr="007678C3">
        <w:rPr>
          <w:rFonts w:cs="Times New Roman"/>
          <w:szCs w:val="24"/>
        </w:rPr>
        <w:t xml:space="preserve">the median values for </w:t>
      </w:r>
      <w:r w:rsidRPr="007678C3">
        <w:rPr>
          <w:rFonts w:cs="Times New Roman"/>
          <w:szCs w:val="24"/>
        </w:rPr>
        <w:lastRenderedPageBreak/>
        <w:t>Massachusetts and Connecticut</w:t>
      </w:r>
      <w:r>
        <w:rPr>
          <w:rFonts w:cs="Times New Roman"/>
          <w:szCs w:val="24"/>
        </w:rPr>
        <w:t xml:space="preserve"> were</w:t>
      </w:r>
      <w:r w:rsidRPr="007678C3">
        <w:rPr>
          <w:rFonts w:cs="Times New Roman"/>
          <w:szCs w:val="24"/>
        </w:rPr>
        <w:t xml:space="preserve"> £4.598 </w:t>
      </w:r>
      <w:r>
        <w:rPr>
          <w:rFonts w:cs="Times New Roman"/>
          <w:szCs w:val="24"/>
        </w:rPr>
        <w:t>and</w:t>
      </w:r>
      <w:r w:rsidRPr="007678C3">
        <w:rPr>
          <w:rFonts w:cs="Times New Roman"/>
          <w:szCs w:val="24"/>
        </w:rPr>
        <w:t xml:space="preserve"> £0.477. The average cash transaction from the Massachusetts sample was almost as large as median New England wealth</w:t>
      </w:r>
      <w:r w:rsidRPr="00D41617">
        <w:rPr>
          <w:rFonts w:cs="Times New Roman"/>
          <w:szCs w:val="24"/>
        </w:rPr>
        <w:t>, and the median value was over half of mean New England income.</w:t>
      </w:r>
      <w:r w:rsidRPr="007678C3">
        <w:rPr>
          <w:rFonts w:cs="Times New Roman"/>
          <w:szCs w:val="24"/>
        </w:rPr>
        <w:t xml:space="preserve"> </w:t>
      </w:r>
      <w:r>
        <w:rPr>
          <w:rFonts w:cs="Times New Roman"/>
          <w:szCs w:val="24"/>
        </w:rPr>
        <w:t>In m</w:t>
      </w:r>
      <w:r w:rsidRPr="007678C3">
        <w:rPr>
          <w:rFonts w:cs="Times New Roman"/>
          <w:szCs w:val="24"/>
        </w:rPr>
        <w:t>ost Massachusetts repayment categories</w:t>
      </w:r>
      <w:r>
        <w:rPr>
          <w:rFonts w:cs="Times New Roman"/>
          <w:szCs w:val="24"/>
        </w:rPr>
        <w:t>,</w:t>
      </w:r>
      <w:r w:rsidRPr="007678C3">
        <w:rPr>
          <w:rFonts w:cs="Times New Roman"/>
          <w:szCs w:val="24"/>
        </w:rPr>
        <w:t xml:space="preserve"> </w:t>
      </w:r>
      <w:r>
        <w:rPr>
          <w:rFonts w:cs="Times New Roman"/>
          <w:szCs w:val="24"/>
        </w:rPr>
        <w:t xml:space="preserve">the </w:t>
      </w:r>
      <w:r w:rsidRPr="007678C3">
        <w:rPr>
          <w:rFonts w:cs="Times New Roman"/>
          <w:szCs w:val="24"/>
        </w:rPr>
        <w:t>median</w:t>
      </w:r>
      <w:r>
        <w:rPr>
          <w:rFonts w:cs="Times New Roman"/>
          <w:szCs w:val="24"/>
        </w:rPr>
        <w:t xml:space="preserve"> amount approaches or exceed one-fourth of average income.  </w:t>
      </w:r>
      <w:r w:rsidRPr="007678C3">
        <w:rPr>
          <w:rFonts w:cs="Times New Roman"/>
          <w:szCs w:val="24"/>
        </w:rPr>
        <w:t>On the payment side for Connecticut</w:t>
      </w:r>
      <w:r>
        <w:rPr>
          <w:rFonts w:cs="Times New Roman"/>
          <w:szCs w:val="24"/>
        </w:rPr>
        <w:t>,</w:t>
      </w:r>
      <w:r w:rsidRPr="007678C3">
        <w:rPr>
          <w:rFonts w:cs="Times New Roman"/>
          <w:szCs w:val="24"/>
        </w:rPr>
        <w:t xml:space="preserve"> </w:t>
      </w:r>
      <w:r>
        <w:rPr>
          <w:rFonts w:cs="Times New Roman"/>
          <w:szCs w:val="24"/>
        </w:rPr>
        <w:t>w</w:t>
      </w:r>
      <w:r w:rsidRPr="007678C3">
        <w:rPr>
          <w:rFonts w:cs="Times New Roman"/>
          <w:szCs w:val="24"/>
        </w:rPr>
        <w:t xml:space="preserve">hile customers </w:t>
      </w:r>
      <w:r>
        <w:rPr>
          <w:rFonts w:cs="Times New Roman"/>
          <w:szCs w:val="24"/>
        </w:rPr>
        <w:t>re</w:t>
      </w:r>
      <w:r w:rsidRPr="007678C3">
        <w:rPr>
          <w:rFonts w:cs="Times New Roman"/>
          <w:szCs w:val="24"/>
        </w:rPr>
        <w:t xml:space="preserve">paid more </w:t>
      </w:r>
      <w:r>
        <w:rPr>
          <w:rFonts w:cs="Times New Roman"/>
          <w:szCs w:val="24"/>
        </w:rPr>
        <w:t xml:space="preserve">frequently </w:t>
      </w:r>
      <w:r w:rsidRPr="007678C3">
        <w:rPr>
          <w:rFonts w:cs="Times New Roman"/>
          <w:szCs w:val="24"/>
        </w:rPr>
        <w:t xml:space="preserve">with </w:t>
      </w:r>
      <w:r w:rsidR="00702BC3">
        <w:rPr>
          <w:rFonts w:cs="Times New Roman"/>
          <w:szCs w:val="24"/>
        </w:rPr>
        <w:t>third-party</w:t>
      </w:r>
      <w:r w:rsidRPr="007678C3">
        <w:rPr>
          <w:rFonts w:cs="Times New Roman"/>
          <w:szCs w:val="24"/>
        </w:rPr>
        <w:t xml:space="preserve"> </w:t>
      </w:r>
      <w:r>
        <w:rPr>
          <w:rFonts w:cs="Times New Roman"/>
          <w:szCs w:val="24"/>
        </w:rPr>
        <w:t>note</w:t>
      </w:r>
      <w:r w:rsidRPr="007678C3">
        <w:rPr>
          <w:rFonts w:cs="Times New Roman"/>
          <w:szCs w:val="24"/>
        </w:rPr>
        <w:t>s</w:t>
      </w:r>
      <w:r>
        <w:rPr>
          <w:rFonts w:cs="Times New Roman"/>
          <w:szCs w:val="24"/>
        </w:rPr>
        <w:t>,</w:t>
      </w:r>
      <w:r w:rsidRPr="007678C3">
        <w:rPr>
          <w:rFonts w:cs="Times New Roman"/>
          <w:szCs w:val="24"/>
        </w:rPr>
        <w:t xml:space="preserve"> the </w:t>
      </w:r>
      <w:r>
        <w:rPr>
          <w:rFonts w:cs="Times New Roman"/>
          <w:szCs w:val="24"/>
        </w:rPr>
        <w:t xml:space="preserve">median </w:t>
      </w:r>
      <w:r w:rsidRPr="007678C3">
        <w:rPr>
          <w:rFonts w:cs="Times New Roman"/>
          <w:szCs w:val="24"/>
        </w:rPr>
        <w:t xml:space="preserve">value of the personal </w:t>
      </w:r>
      <w:r>
        <w:rPr>
          <w:rFonts w:cs="Times New Roman"/>
          <w:szCs w:val="24"/>
        </w:rPr>
        <w:t>note</w:t>
      </w:r>
      <w:r w:rsidRPr="007678C3">
        <w:rPr>
          <w:rFonts w:cs="Times New Roman"/>
          <w:szCs w:val="24"/>
        </w:rPr>
        <w:t xml:space="preserve">s was </w:t>
      </w:r>
      <w:r>
        <w:rPr>
          <w:rFonts w:cs="Times New Roman"/>
          <w:szCs w:val="24"/>
        </w:rPr>
        <w:t xml:space="preserve">much </w:t>
      </w:r>
      <w:r w:rsidRPr="007678C3">
        <w:rPr>
          <w:rFonts w:cs="Times New Roman"/>
          <w:szCs w:val="24"/>
        </w:rPr>
        <w:t>higher. While not as dramatic as the Massachusetts</w:t>
      </w:r>
      <w:r>
        <w:rPr>
          <w:rFonts w:cs="Times New Roman"/>
          <w:szCs w:val="24"/>
        </w:rPr>
        <w:t xml:space="preserve">, </w:t>
      </w:r>
      <w:r w:rsidRPr="007678C3">
        <w:rPr>
          <w:rFonts w:cs="Times New Roman"/>
          <w:szCs w:val="24"/>
        </w:rPr>
        <w:t xml:space="preserve">the Connecticut numbers are large as well. It is not easy to </w:t>
      </w:r>
      <w:r w:rsidR="007F2FAE">
        <w:rPr>
          <w:rFonts w:cs="Times New Roman"/>
          <w:szCs w:val="24"/>
        </w:rPr>
        <w:t>imagine</w:t>
      </w:r>
      <w:r w:rsidR="007F2FAE" w:rsidRPr="007678C3">
        <w:rPr>
          <w:rFonts w:cs="Times New Roman"/>
          <w:szCs w:val="24"/>
        </w:rPr>
        <w:t xml:space="preserve"> </w:t>
      </w:r>
      <w:r w:rsidRPr="007678C3">
        <w:rPr>
          <w:rFonts w:cs="Times New Roman"/>
          <w:szCs w:val="24"/>
        </w:rPr>
        <w:t xml:space="preserve">a payment being equal to one quarter of mean income. </w:t>
      </w:r>
      <w:r>
        <w:rPr>
          <w:rFonts w:cs="Times New Roman"/>
          <w:szCs w:val="24"/>
        </w:rPr>
        <w:t xml:space="preserve">  </w:t>
      </w:r>
    </w:p>
    <w:p w:rsidR="00991FAC" w:rsidRDefault="00991FAC" w:rsidP="00991FAC">
      <w:pPr>
        <w:autoSpaceDE w:val="0"/>
        <w:autoSpaceDN w:val="0"/>
        <w:adjustRightInd w:val="0"/>
        <w:spacing w:after="0" w:line="480" w:lineRule="auto"/>
        <w:ind w:firstLine="720"/>
        <w:jc w:val="both"/>
        <w:rPr>
          <w:rFonts w:cs="Times New Roman"/>
          <w:szCs w:val="24"/>
        </w:rPr>
      </w:pPr>
    </w:p>
    <w:p w:rsidR="00991FAC" w:rsidRPr="00D84E16" w:rsidRDefault="00991FAC" w:rsidP="00991FAC">
      <w:pPr>
        <w:autoSpaceDE w:val="0"/>
        <w:autoSpaceDN w:val="0"/>
        <w:adjustRightInd w:val="0"/>
        <w:spacing w:after="0" w:line="480" w:lineRule="auto"/>
        <w:jc w:val="center"/>
        <w:rPr>
          <w:rFonts w:cs="Times New Roman"/>
          <w:b/>
          <w:szCs w:val="24"/>
        </w:rPr>
      </w:pPr>
      <w:r w:rsidRPr="00D84E16">
        <w:rPr>
          <w:rFonts w:cs="Times New Roman"/>
          <w:b/>
          <w:szCs w:val="24"/>
        </w:rPr>
        <w:t xml:space="preserve">Table </w:t>
      </w:r>
      <w:r w:rsidR="00775769">
        <w:rPr>
          <w:rFonts w:cs="Times New Roman"/>
          <w:b/>
          <w:szCs w:val="24"/>
        </w:rPr>
        <w:t>10</w:t>
      </w:r>
      <w:r w:rsidR="00775769" w:rsidRPr="00D84E16">
        <w:rPr>
          <w:rFonts w:cs="Times New Roman"/>
          <w:b/>
          <w:szCs w:val="24"/>
        </w:rPr>
        <w:t xml:space="preserve"> </w:t>
      </w:r>
      <w:r w:rsidRPr="00D84E16">
        <w:rPr>
          <w:rFonts w:cs="Times New Roman"/>
          <w:b/>
          <w:szCs w:val="24"/>
        </w:rPr>
        <w:t>about here</w:t>
      </w:r>
    </w:p>
    <w:p w:rsidR="00991FAC" w:rsidRDefault="00991FAC" w:rsidP="00991FAC">
      <w:pPr>
        <w:autoSpaceDE w:val="0"/>
        <w:autoSpaceDN w:val="0"/>
        <w:adjustRightInd w:val="0"/>
        <w:spacing w:after="0" w:line="480" w:lineRule="auto"/>
        <w:ind w:firstLine="720"/>
        <w:jc w:val="both"/>
        <w:rPr>
          <w:rFonts w:cs="Times New Roman"/>
          <w:szCs w:val="24"/>
        </w:rPr>
      </w:pPr>
    </w:p>
    <w:p w:rsidR="00991FAC" w:rsidRDefault="00991FAC" w:rsidP="00991FAC">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Table </w:t>
      </w:r>
      <w:r w:rsidR="00775769">
        <w:rPr>
          <w:rFonts w:cs="Times New Roman"/>
          <w:szCs w:val="24"/>
        </w:rPr>
        <w:t>10</w:t>
      </w:r>
      <w:r w:rsidR="00775769" w:rsidRPr="007678C3">
        <w:rPr>
          <w:rFonts w:cs="Times New Roman"/>
          <w:szCs w:val="24"/>
        </w:rPr>
        <w:t xml:space="preserve"> </w:t>
      </w:r>
      <w:r w:rsidRPr="007678C3">
        <w:rPr>
          <w:rFonts w:cs="Times New Roman"/>
          <w:szCs w:val="24"/>
        </w:rPr>
        <w:t xml:space="preserve">presents the percentage of total </w:t>
      </w:r>
      <w:r>
        <w:rPr>
          <w:rFonts w:cs="Times New Roman"/>
          <w:szCs w:val="24"/>
        </w:rPr>
        <w:t>re</w:t>
      </w:r>
      <w:r w:rsidRPr="007678C3">
        <w:rPr>
          <w:rFonts w:cs="Times New Roman"/>
          <w:szCs w:val="24"/>
        </w:rPr>
        <w:t xml:space="preserve">payments </w:t>
      </w:r>
      <w:r>
        <w:rPr>
          <w:rFonts w:cs="Times New Roman"/>
          <w:szCs w:val="24"/>
        </w:rPr>
        <w:t xml:space="preserve">that </w:t>
      </w:r>
      <w:r w:rsidRPr="007678C3">
        <w:rPr>
          <w:rFonts w:cs="Times New Roman"/>
          <w:szCs w:val="24"/>
        </w:rPr>
        <w:t xml:space="preserve">each category represented. Cash </w:t>
      </w:r>
      <w:r>
        <w:rPr>
          <w:rFonts w:cs="Times New Roman"/>
          <w:szCs w:val="24"/>
        </w:rPr>
        <w:t xml:space="preserve">itself </w:t>
      </w:r>
      <w:r w:rsidRPr="007678C3">
        <w:rPr>
          <w:rFonts w:cs="Times New Roman"/>
          <w:szCs w:val="24"/>
        </w:rPr>
        <w:t xml:space="preserve">is the largest </w:t>
      </w:r>
      <w:r>
        <w:rPr>
          <w:rFonts w:cs="Times New Roman"/>
          <w:szCs w:val="24"/>
        </w:rPr>
        <w:t>re</w:t>
      </w:r>
      <w:r w:rsidRPr="007678C3">
        <w:rPr>
          <w:rFonts w:cs="Times New Roman"/>
          <w:szCs w:val="24"/>
        </w:rPr>
        <w:t>payment category for Massachusetts at 44% while it is only 36.5% for Connecticut</w:t>
      </w:r>
      <w:r>
        <w:rPr>
          <w:rFonts w:cs="Times New Roman"/>
          <w:szCs w:val="24"/>
        </w:rPr>
        <w:t xml:space="preserve">, ranking </w:t>
      </w:r>
      <w:r w:rsidRPr="007678C3">
        <w:rPr>
          <w:rFonts w:cs="Times New Roman"/>
          <w:szCs w:val="24"/>
        </w:rPr>
        <w:t xml:space="preserve">behind goods. </w:t>
      </w:r>
      <w:r>
        <w:rPr>
          <w:rFonts w:cs="Times New Roman"/>
          <w:szCs w:val="24"/>
        </w:rPr>
        <w:t>Note that while Goods was the most prevalent repayment category in terms of frequency, its share o</w:t>
      </w:r>
      <w:r w:rsidRPr="007678C3">
        <w:rPr>
          <w:rFonts w:cs="Times New Roman"/>
          <w:szCs w:val="24"/>
        </w:rPr>
        <w:t xml:space="preserve">f the total value of </w:t>
      </w:r>
      <w:r>
        <w:rPr>
          <w:rFonts w:cs="Times New Roman"/>
          <w:szCs w:val="24"/>
        </w:rPr>
        <w:t>re</w:t>
      </w:r>
      <w:r w:rsidRPr="007678C3">
        <w:rPr>
          <w:rFonts w:cs="Times New Roman"/>
          <w:szCs w:val="24"/>
        </w:rPr>
        <w:t xml:space="preserve">payments </w:t>
      </w:r>
      <w:r>
        <w:rPr>
          <w:rFonts w:cs="Times New Roman"/>
          <w:szCs w:val="24"/>
        </w:rPr>
        <w:t>in</w:t>
      </w:r>
      <w:r w:rsidRPr="007678C3">
        <w:rPr>
          <w:rFonts w:cs="Times New Roman"/>
          <w:szCs w:val="24"/>
        </w:rPr>
        <w:t xml:space="preserve"> Connecticut </w:t>
      </w:r>
      <w:r>
        <w:rPr>
          <w:rFonts w:cs="Times New Roman"/>
          <w:szCs w:val="24"/>
        </w:rPr>
        <w:t xml:space="preserve">was 39.9% but only </w:t>
      </w:r>
      <w:r w:rsidRPr="007678C3">
        <w:rPr>
          <w:rFonts w:cs="Times New Roman"/>
          <w:szCs w:val="24"/>
        </w:rPr>
        <w:t xml:space="preserve">23.6% </w:t>
      </w:r>
      <w:r>
        <w:rPr>
          <w:rFonts w:cs="Times New Roman"/>
          <w:szCs w:val="24"/>
        </w:rPr>
        <w:t>in</w:t>
      </w:r>
      <w:r w:rsidRPr="007678C3">
        <w:rPr>
          <w:rFonts w:cs="Times New Roman"/>
          <w:szCs w:val="24"/>
        </w:rPr>
        <w:t xml:space="preserve"> Massachusetts. Reckoning</w:t>
      </w:r>
      <w:r>
        <w:rPr>
          <w:rFonts w:cs="Times New Roman"/>
          <w:szCs w:val="24"/>
        </w:rPr>
        <w:t>s</w:t>
      </w:r>
      <w:r w:rsidRPr="007678C3">
        <w:rPr>
          <w:rFonts w:cs="Times New Roman"/>
          <w:szCs w:val="24"/>
        </w:rPr>
        <w:t xml:space="preserve"> take on </w:t>
      </w:r>
      <w:r>
        <w:rPr>
          <w:rFonts w:cs="Times New Roman"/>
          <w:szCs w:val="24"/>
        </w:rPr>
        <w:t xml:space="preserve">an </w:t>
      </w:r>
      <w:r w:rsidRPr="007678C3">
        <w:rPr>
          <w:rFonts w:cs="Times New Roman"/>
          <w:szCs w:val="24"/>
        </w:rPr>
        <w:t xml:space="preserve">increased significance in Massachusetts </w:t>
      </w:r>
      <w:r>
        <w:rPr>
          <w:rFonts w:cs="Times New Roman"/>
          <w:szCs w:val="24"/>
        </w:rPr>
        <w:t>(</w:t>
      </w:r>
      <w:r w:rsidRPr="007678C3">
        <w:rPr>
          <w:rFonts w:cs="Times New Roman"/>
          <w:szCs w:val="24"/>
        </w:rPr>
        <w:t>9</w:t>
      </w:r>
      <w:r>
        <w:rPr>
          <w:rFonts w:cs="Times New Roman"/>
          <w:szCs w:val="24"/>
        </w:rPr>
        <w:t>.6</w:t>
      </w:r>
      <w:r w:rsidRPr="007678C3">
        <w:rPr>
          <w:rFonts w:cs="Times New Roman"/>
          <w:szCs w:val="24"/>
        </w:rPr>
        <w:t>% of the total value</w:t>
      </w:r>
      <w:r>
        <w:rPr>
          <w:rFonts w:cs="Times New Roman"/>
          <w:szCs w:val="24"/>
        </w:rPr>
        <w:t xml:space="preserve">) over </w:t>
      </w:r>
      <w:r w:rsidRPr="007678C3">
        <w:rPr>
          <w:rFonts w:cs="Times New Roman"/>
          <w:szCs w:val="24"/>
        </w:rPr>
        <w:t xml:space="preserve">Connecticut </w:t>
      </w:r>
      <w:r>
        <w:rPr>
          <w:rFonts w:cs="Times New Roman"/>
          <w:szCs w:val="24"/>
        </w:rPr>
        <w:t>(4.0%)</w:t>
      </w:r>
      <w:r w:rsidRPr="007678C3">
        <w:rPr>
          <w:rFonts w:cs="Times New Roman"/>
          <w:szCs w:val="24"/>
        </w:rPr>
        <w:t xml:space="preserve">. Some of the more notable results include the differences between the two colonies in the use of </w:t>
      </w:r>
      <w:r>
        <w:rPr>
          <w:rFonts w:cs="Times New Roman"/>
          <w:szCs w:val="24"/>
        </w:rPr>
        <w:t>note</w:t>
      </w:r>
      <w:r w:rsidRPr="007678C3">
        <w:rPr>
          <w:rFonts w:cs="Times New Roman"/>
          <w:szCs w:val="24"/>
        </w:rPr>
        <w:t>s. In Connecticut</w:t>
      </w:r>
      <w:r>
        <w:rPr>
          <w:rFonts w:cs="Times New Roman"/>
          <w:szCs w:val="24"/>
        </w:rPr>
        <w:t>,</w:t>
      </w:r>
      <w:r w:rsidRPr="007678C3">
        <w:rPr>
          <w:rFonts w:cs="Times New Roman"/>
          <w:szCs w:val="24"/>
        </w:rPr>
        <w:t xml:space="preserve"> the personal note accounts for 11.8% of all </w:t>
      </w:r>
      <w:r>
        <w:rPr>
          <w:rFonts w:cs="Times New Roman"/>
          <w:szCs w:val="24"/>
        </w:rPr>
        <w:t>re</w:t>
      </w:r>
      <w:r w:rsidRPr="007678C3">
        <w:rPr>
          <w:rFonts w:cs="Times New Roman"/>
          <w:szCs w:val="24"/>
        </w:rPr>
        <w:t xml:space="preserve">payments and the </w:t>
      </w:r>
      <w:r w:rsidR="00702BC3">
        <w:rPr>
          <w:rFonts w:cs="Times New Roman"/>
          <w:szCs w:val="24"/>
        </w:rPr>
        <w:t>third-party</w:t>
      </w:r>
      <w:r w:rsidRPr="007678C3">
        <w:rPr>
          <w:rFonts w:cs="Times New Roman"/>
          <w:szCs w:val="24"/>
        </w:rPr>
        <w:t xml:space="preserve"> note </w:t>
      </w:r>
      <w:r>
        <w:rPr>
          <w:rFonts w:cs="Times New Roman"/>
          <w:szCs w:val="24"/>
        </w:rPr>
        <w:t>only 5.9% whereas in</w:t>
      </w:r>
      <w:r w:rsidRPr="007678C3">
        <w:rPr>
          <w:rFonts w:cs="Times New Roman"/>
          <w:szCs w:val="24"/>
        </w:rPr>
        <w:t xml:space="preserve"> Massachusetts the opposite </w:t>
      </w:r>
      <w:r>
        <w:rPr>
          <w:rFonts w:cs="Times New Roman"/>
          <w:szCs w:val="24"/>
        </w:rPr>
        <w:t xml:space="preserve">occurs </w:t>
      </w:r>
      <w:r w:rsidRPr="007678C3">
        <w:rPr>
          <w:rFonts w:cs="Times New Roman"/>
          <w:szCs w:val="24"/>
        </w:rPr>
        <w:t xml:space="preserve">with personal notes equal to 3.5% and </w:t>
      </w:r>
      <w:r w:rsidR="00702BC3">
        <w:rPr>
          <w:rFonts w:cs="Times New Roman"/>
          <w:szCs w:val="24"/>
        </w:rPr>
        <w:t>third-party</w:t>
      </w:r>
      <w:r w:rsidRPr="007678C3">
        <w:rPr>
          <w:rFonts w:cs="Times New Roman"/>
          <w:szCs w:val="24"/>
        </w:rPr>
        <w:t xml:space="preserve"> notes equal to 19.22% of the total value of </w:t>
      </w:r>
      <w:r>
        <w:rPr>
          <w:rFonts w:cs="Times New Roman"/>
          <w:szCs w:val="24"/>
        </w:rPr>
        <w:t>re</w:t>
      </w:r>
      <w:r w:rsidRPr="007678C3">
        <w:rPr>
          <w:rFonts w:cs="Times New Roman"/>
          <w:szCs w:val="24"/>
        </w:rPr>
        <w:t xml:space="preserve">payments. </w:t>
      </w:r>
    </w:p>
    <w:p w:rsidR="00991FAC" w:rsidRDefault="00991FAC" w:rsidP="00991FAC">
      <w:pPr>
        <w:autoSpaceDE w:val="0"/>
        <w:autoSpaceDN w:val="0"/>
        <w:adjustRightInd w:val="0"/>
        <w:spacing w:after="0" w:line="480" w:lineRule="auto"/>
        <w:jc w:val="both"/>
        <w:rPr>
          <w:rFonts w:cs="Times New Roman"/>
          <w:szCs w:val="24"/>
        </w:rPr>
      </w:pPr>
    </w:p>
    <w:p w:rsidR="00991FAC" w:rsidRPr="00D554AA" w:rsidRDefault="00991FAC" w:rsidP="00991FAC">
      <w:pPr>
        <w:autoSpaceDE w:val="0"/>
        <w:autoSpaceDN w:val="0"/>
        <w:adjustRightInd w:val="0"/>
        <w:spacing w:after="0" w:line="480" w:lineRule="auto"/>
        <w:jc w:val="center"/>
        <w:rPr>
          <w:rFonts w:cs="Times New Roman"/>
          <w:b/>
          <w:szCs w:val="24"/>
        </w:rPr>
      </w:pPr>
      <w:r w:rsidRPr="00D554AA">
        <w:rPr>
          <w:rFonts w:cs="Times New Roman"/>
          <w:b/>
          <w:szCs w:val="24"/>
        </w:rPr>
        <w:t xml:space="preserve">Table </w:t>
      </w:r>
      <w:r w:rsidR="00775769">
        <w:rPr>
          <w:rFonts w:cs="Times New Roman"/>
          <w:b/>
          <w:szCs w:val="24"/>
        </w:rPr>
        <w:t>11</w:t>
      </w:r>
      <w:r w:rsidR="00775769" w:rsidRPr="00D554AA">
        <w:rPr>
          <w:rFonts w:cs="Times New Roman"/>
          <w:b/>
          <w:szCs w:val="24"/>
        </w:rPr>
        <w:t xml:space="preserve"> </w:t>
      </w:r>
      <w:r w:rsidRPr="00D554AA">
        <w:rPr>
          <w:rFonts w:cs="Times New Roman"/>
          <w:b/>
          <w:szCs w:val="24"/>
        </w:rPr>
        <w:t>about here</w:t>
      </w:r>
    </w:p>
    <w:p w:rsidR="00991FAC" w:rsidRDefault="00991FAC" w:rsidP="00991FAC">
      <w:pPr>
        <w:autoSpaceDE w:val="0"/>
        <w:autoSpaceDN w:val="0"/>
        <w:adjustRightInd w:val="0"/>
        <w:spacing w:after="0" w:line="480" w:lineRule="auto"/>
        <w:ind w:firstLine="720"/>
        <w:jc w:val="both"/>
        <w:rPr>
          <w:rFonts w:cs="Times New Roman"/>
          <w:position w:val="10"/>
          <w:szCs w:val="24"/>
          <w:vertAlign w:val="superscript"/>
        </w:rPr>
      </w:pPr>
      <w:r>
        <w:rPr>
          <w:rFonts w:cs="Times New Roman"/>
          <w:szCs w:val="24"/>
        </w:rPr>
        <w:lastRenderedPageBreak/>
        <w:t xml:space="preserve">Table </w:t>
      </w:r>
      <w:r w:rsidR="00775769">
        <w:rPr>
          <w:rFonts w:cs="Times New Roman"/>
          <w:szCs w:val="24"/>
        </w:rPr>
        <w:t xml:space="preserve">11 </w:t>
      </w:r>
      <w:r>
        <w:rPr>
          <w:rFonts w:cs="Times New Roman"/>
          <w:szCs w:val="24"/>
        </w:rPr>
        <w:t xml:space="preserve">compares our repayment estimates to those of Martin (1939) for a comparable region over the </w:t>
      </w:r>
      <w:r w:rsidR="00901BE2">
        <w:rPr>
          <w:rFonts w:cs="Times New Roman"/>
          <w:szCs w:val="24"/>
        </w:rPr>
        <w:t>period</w:t>
      </w:r>
      <w:r>
        <w:rPr>
          <w:rFonts w:cs="Times New Roman"/>
          <w:szCs w:val="24"/>
        </w:rPr>
        <w:t xml:space="preserve"> of interest.  </w:t>
      </w:r>
      <w:r w:rsidRPr="007678C3">
        <w:rPr>
          <w:rFonts w:cs="Times New Roman"/>
          <w:szCs w:val="24"/>
        </w:rPr>
        <w:t xml:space="preserve">Using </w:t>
      </w:r>
      <w:r w:rsidR="0041713F">
        <w:rPr>
          <w:rFonts w:cs="Times New Roman"/>
          <w:szCs w:val="24"/>
        </w:rPr>
        <w:t>Martin’s definitions</w:t>
      </w:r>
      <w:r>
        <w:rPr>
          <w:rFonts w:cs="Times New Roman"/>
          <w:szCs w:val="24"/>
        </w:rPr>
        <w:t xml:space="preserve">, the total value of repayments in our sample satisfied by “Money”, consisting of Cash, Personal Notes, and </w:t>
      </w:r>
      <w:r w:rsidR="00702BC3">
        <w:rPr>
          <w:rFonts w:cs="Times New Roman"/>
          <w:szCs w:val="24"/>
        </w:rPr>
        <w:t>Third-party</w:t>
      </w:r>
      <w:r>
        <w:rPr>
          <w:rFonts w:cs="Times New Roman"/>
          <w:szCs w:val="24"/>
        </w:rPr>
        <w:t xml:space="preserve"> Notes, </w:t>
      </w:r>
      <w:r w:rsidRPr="007678C3">
        <w:rPr>
          <w:rFonts w:cs="Times New Roman"/>
          <w:szCs w:val="24"/>
        </w:rPr>
        <w:t>is 54.2%</w:t>
      </w:r>
      <w:r>
        <w:rPr>
          <w:rFonts w:cs="Times New Roman"/>
          <w:szCs w:val="24"/>
        </w:rPr>
        <w:t xml:space="preserve"> in Connecticut</w:t>
      </w:r>
      <w:r w:rsidRPr="007678C3">
        <w:rPr>
          <w:rFonts w:cs="Times New Roman"/>
          <w:szCs w:val="24"/>
        </w:rPr>
        <w:t xml:space="preserve">, close to her estimate of 59.1%. Massachusetts’s </w:t>
      </w:r>
      <w:r>
        <w:rPr>
          <w:rFonts w:cs="Times New Roman"/>
          <w:szCs w:val="24"/>
        </w:rPr>
        <w:t>re</w:t>
      </w:r>
      <w:r w:rsidRPr="007678C3">
        <w:rPr>
          <w:rFonts w:cs="Times New Roman"/>
          <w:szCs w:val="24"/>
        </w:rPr>
        <w:t xml:space="preserve">payments are fully two-thirds made in </w:t>
      </w:r>
      <w:r>
        <w:rPr>
          <w:rFonts w:cs="Times New Roman"/>
          <w:szCs w:val="24"/>
        </w:rPr>
        <w:t>“M</w:t>
      </w:r>
      <w:r w:rsidRPr="007678C3">
        <w:rPr>
          <w:rFonts w:cs="Times New Roman"/>
          <w:szCs w:val="24"/>
        </w:rPr>
        <w:t>oney</w:t>
      </w:r>
      <w:r>
        <w:rPr>
          <w:rFonts w:cs="Times New Roman"/>
          <w:szCs w:val="24"/>
        </w:rPr>
        <w:t>”</w:t>
      </w:r>
      <w:r w:rsidRPr="007678C3">
        <w:rPr>
          <w:rFonts w:cs="Times New Roman"/>
          <w:szCs w:val="24"/>
        </w:rPr>
        <w:t xml:space="preserve"> using </w:t>
      </w:r>
      <w:r>
        <w:rPr>
          <w:rFonts w:cs="Times New Roman"/>
          <w:szCs w:val="24"/>
        </w:rPr>
        <w:t>these</w:t>
      </w:r>
      <w:r w:rsidRPr="007678C3">
        <w:rPr>
          <w:rFonts w:cs="Times New Roman"/>
          <w:szCs w:val="24"/>
        </w:rPr>
        <w:t xml:space="preserve"> categories, showing </w:t>
      </w:r>
      <w:r w:rsidR="0041713F" w:rsidRPr="007678C3">
        <w:rPr>
          <w:rFonts w:cs="Times New Roman"/>
          <w:szCs w:val="24"/>
        </w:rPr>
        <w:t>more</w:t>
      </w:r>
      <w:r w:rsidRPr="007678C3">
        <w:rPr>
          <w:rFonts w:cs="Times New Roman"/>
          <w:szCs w:val="24"/>
        </w:rPr>
        <w:t xml:space="preserve"> money usage than Connecticut. </w:t>
      </w:r>
    </w:p>
    <w:p w:rsidR="00956A52" w:rsidRPr="001419D7" w:rsidRDefault="00956A52" w:rsidP="00956A52">
      <w:pPr>
        <w:spacing w:after="0" w:line="480" w:lineRule="auto"/>
        <w:jc w:val="both"/>
        <w:rPr>
          <w:b/>
          <w:szCs w:val="24"/>
        </w:rPr>
      </w:pPr>
    </w:p>
    <w:p w:rsidR="006B3FA8" w:rsidRPr="007678C3" w:rsidRDefault="006B3FA8" w:rsidP="00DA4438">
      <w:pPr>
        <w:autoSpaceDE w:val="0"/>
        <w:autoSpaceDN w:val="0"/>
        <w:adjustRightInd w:val="0"/>
        <w:spacing w:after="0" w:line="480" w:lineRule="auto"/>
        <w:jc w:val="both"/>
        <w:rPr>
          <w:rFonts w:cs="Times New Roman"/>
          <w:szCs w:val="24"/>
        </w:rPr>
      </w:pPr>
      <w:r w:rsidRPr="007678C3">
        <w:rPr>
          <w:rFonts w:cs="Times New Roman"/>
          <w:b/>
          <w:bCs/>
          <w:szCs w:val="24"/>
        </w:rPr>
        <w:t>Conclusion</w:t>
      </w:r>
    </w:p>
    <w:p w:rsidR="00250CCF" w:rsidRDefault="00250CCF" w:rsidP="00250CCF">
      <w:pPr>
        <w:autoSpaceDE w:val="0"/>
        <w:autoSpaceDN w:val="0"/>
        <w:adjustRightInd w:val="0"/>
        <w:spacing w:after="0" w:line="480" w:lineRule="auto"/>
        <w:jc w:val="both"/>
        <w:rPr>
          <w:rFonts w:cs="Times New Roman"/>
          <w:szCs w:val="24"/>
        </w:rPr>
      </w:pPr>
      <w:r w:rsidRPr="007678C3">
        <w:rPr>
          <w:rFonts w:cs="Times New Roman"/>
          <w:szCs w:val="24"/>
        </w:rPr>
        <w:t>This paper demonstrat</w:t>
      </w:r>
      <w:r>
        <w:rPr>
          <w:rFonts w:cs="Times New Roman"/>
          <w:szCs w:val="24"/>
        </w:rPr>
        <w:t>es</w:t>
      </w:r>
      <w:r w:rsidRPr="007678C3">
        <w:rPr>
          <w:rFonts w:cs="Times New Roman"/>
          <w:szCs w:val="24"/>
        </w:rPr>
        <w:t xml:space="preserve"> credit ubiquity and</w:t>
      </w:r>
      <w:r w:rsidR="001A6B8F">
        <w:rPr>
          <w:rFonts w:cs="Times New Roman"/>
          <w:szCs w:val="24"/>
        </w:rPr>
        <w:t xml:space="preserve"> describes the various repayment methods employed in colonial Massachusetts and Connecticut</w:t>
      </w:r>
      <w:r w:rsidRPr="007678C3">
        <w:rPr>
          <w:rFonts w:cs="Times New Roman"/>
          <w:szCs w:val="24"/>
        </w:rPr>
        <w:t xml:space="preserve">. </w:t>
      </w:r>
      <w:r>
        <w:rPr>
          <w:rFonts w:cs="Times New Roman"/>
          <w:szCs w:val="24"/>
        </w:rPr>
        <w:t xml:space="preserve">  Colonial merchants serve as </w:t>
      </w:r>
      <w:r w:rsidRPr="007678C3">
        <w:rPr>
          <w:rFonts w:cs="Times New Roman"/>
          <w:szCs w:val="24"/>
        </w:rPr>
        <w:t xml:space="preserve">financial intermediaries </w:t>
      </w:r>
      <w:r>
        <w:rPr>
          <w:rFonts w:cs="Times New Roman"/>
          <w:szCs w:val="24"/>
        </w:rPr>
        <w:t xml:space="preserve">as lending practices evolved over the eighteenth century.  </w:t>
      </w:r>
      <w:r w:rsidRPr="007678C3">
        <w:rPr>
          <w:rFonts w:cs="Times New Roman"/>
          <w:szCs w:val="24"/>
        </w:rPr>
        <w:t xml:space="preserve">As time passed merchants took on more intermediary functions. Customers were given acceptances to use in distant towns. Statements were sent to the merchant who paid the creditor to the customer. The merchant added corresponding amounts to the debt of the customer on his books. </w:t>
      </w:r>
    </w:p>
    <w:p w:rsidR="006B3FA8" w:rsidRPr="007678C3" w:rsidRDefault="006B3FA8" w:rsidP="00250CCF">
      <w:pPr>
        <w:autoSpaceDE w:val="0"/>
        <w:autoSpaceDN w:val="0"/>
        <w:adjustRightInd w:val="0"/>
        <w:spacing w:after="0" w:line="480" w:lineRule="auto"/>
        <w:ind w:firstLine="720"/>
        <w:jc w:val="both"/>
        <w:rPr>
          <w:rFonts w:cs="Times New Roman"/>
          <w:szCs w:val="24"/>
        </w:rPr>
      </w:pPr>
      <w:r w:rsidRPr="007678C3">
        <w:rPr>
          <w:rFonts w:cs="Times New Roman"/>
          <w:szCs w:val="24"/>
        </w:rPr>
        <w:t xml:space="preserve">Combined, these numbers illustrate some significant features of </w:t>
      </w:r>
      <w:r w:rsidR="00480660">
        <w:rPr>
          <w:rFonts w:cs="Times New Roman"/>
          <w:szCs w:val="24"/>
        </w:rPr>
        <w:t>colonial economic life</w:t>
      </w:r>
      <w:r w:rsidRPr="007678C3">
        <w:rPr>
          <w:rFonts w:cs="Times New Roman"/>
          <w:szCs w:val="24"/>
        </w:rPr>
        <w:t xml:space="preserve">. Despite differences in scale of operations and </w:t>
      </w:r>
      <w:r w:rsidR="00F76260">
        <w:rPr>
          <w:rFonts w:cs="Times New Roman"/>
          <w:szCs w:val="24"/>
        </w:rPr>
        <w:t>re</w:t>
      </w:r>
      <w:r w:rsidRPr="007678C3">
        <w:rPr>
          <w:rFonts w:cs="Times New Roman"/>
          <w:szCs w:val="24"/>
        </w:rPr>
        <w:t>payment preferences</w:t>
      </w:r>
      <w:r w:rsidR="00F76260">
        <w:rPr>
          <w:rFonts w:cs="Times New Roman"/>
          <w:szCs w:val="24"/>
        </w:rPr>
        <w:t xml:space="preserve">, </w:t>
      </w:r>
      <w:r w:rsidRPr="007678C3">
        <w:rPr>
          <w:rFonts w:cs="Times New Roman"/>
          <w:szCs w:val="24"/>
        </w:rPr>
        <w:t xml:space="preserve">both colonies made </w:t>
      </w:r>
      <w:r w:rsidR="00F76260">
        <w:rPr>
          <w:rFonts w:cs="Times New Roman"/>
          <w:szCs w:val="24"/>
        </w:rPr>
        <w:t xml:space="preserve">extensive use of </w:t>
      </w:r>
      <w:r w:rsidRPr="007678C3">
        <w:rPr>
          <w:rFonts w:cs="Times New Roman"/>
          <w:szCs w:val="24"/>
        </w:rPr>
        <w:t xml:space="preserve">credit. The size of the </w:t>
      </w:r>
      <w:r w:rsidR="00F76260">
        <w:rPr>
          <w:rFonts w:cs="Times New Roman"/>
          <w:szCs w:val="24"/>
        </w:rPr>
        <w:t>sal</w:t>
      </w:r>
      <w:r w:rsidRPr="007678C3">
        <w:rPr>
          <w:rFonts w:cs="Times New Roman"/>
          <w:szCs w:val="24"/>
        </w:rPr>
        <w:t xml:space="preserve">es and </w:t>
      </w:r>
      <w:r w:rsidR="00F76260">
        <w:rPr>
          <w:rFonts w:cs="Times New Roman"/>
          <w:szCs w:val="24"/>
        </w:rPr>
        <w:t>re</w:t>
      </w:r>
      <w:r w:rsidRPr="007678C3">
        <w:rPr>
          <w:rFonts w:cs="Times New Roman"/>
          <w:szCs w:val="24"/>
        </w:rPr>
        <w:t>payments are quite large, particularly for Massachusetts. When compared to Jones’s estimates of wealth</w:t>
      </w:r>
      <w:r w:rsidR="001A6B8F">
        <w:rPr>
          <w:rFonts w:cs="Times New Roman"/>
          <w:szCs w:val="24"/>
        </w:rPr>
        <w:t>,</w:t>
      </w:r>
      <w:r w:rsidRPr="007678C3">
        <w:rPr>
          <w:rFonts w:cs="Times New Roman"/>
          <w:szCs w:val="24"/>
        </w:rPr>
        <w:t xml:space="preserve"> </w:t>
      </w:r>
      <w:r w:rsidR="001A6B8F">
        <w:rPr>
          <w:rFonts w:cs="Times New Roman"/>
          <w:szCs w:val="24"/>
        </w:rPr>
        <w:t>our results</w:t>
      </w:r>
      <w:r w:rsidRPr="007678C3">
        <w:rPr>
          <w:rFonts w:cs="Times New Roman"/>
          <w:szCs w:val="24"/>
        </w:rPr>
        <w:t xml:space="preserve"> take on an increased significance. </w:t>
      </w:r>
    </w:p>
    <w:p w:rsidR="006B3FA8" w:rsidRPr="007678C3" w:rsidRDefault="006B3FA8" w:rsidP="00480660">
      <w:pPr>
        <w:autoSpaceDE w:val="0"/>
        <w:autoSpaceDN w:val="0"/>
        <w:adjustRightInd w:val="0"/>
        <w:spacing w:after="0" w:line="480" w:lineRule="auto"/>
        <w:ind w:firstLine="720"/>
        <w:jc w:val="both"/>
        <w:rPr>
          <w:rFonts w:cs="Times New Roman"/>
          <w:szCs w:val="24"/>
        </w:rPr>
      </w:pPr>
      <w:r w:rsidRPr="007678C3">
        <w:rPr>
          <w:rFonts w:cs="Times New Roman"/>
          <w:szCs w:val="24"/>
        </w:rPr>
        <w:t>Taken together</w:t>
      </w:r>
      <w:r w:rsidR="00480660">
        <w:rPr>
          <w:rFonts w:cs="Times New Roman"/>
          <w:szCs w:val="24"/>
        </w:rPr>
        <w:t>,</w:t>
      </w:r>
      <w:r w:rsidRPr="007678C3">
        <w:rPr>
          <w:rFonts w:cs="Times New Roman"/>
          <w:szCs w:val="24"/>
        </w:rPr>
        <w:t xml:space="preserve"> the size of the average credit transaction and the frequency of credit use demonstrate both credit’s ubiquity and the importance of credit to the economy. The average repayment values show </w:t>
      </w:r>
      <w:r w:rsidR="00F76260">
        <w:rPr>
          <w:rFonts w:cs="Times New Roman"/>
          <w:szCs w:val="24"/>
        </w:rPr>
        <w:t xml:space="preserve">that </w:t>
      </w:r>
      <w:r w:rsidRPr="007678C3">
        <w:rPr>
          <w:rFonts w:cs="Times New Roman"/>
          <w:szCs w:val="24"/>
        </w:rPr>
        <w:t xml:space="preserve">goods and cash play important roles in the payment system. Even </w:t>
      </w:r>
      <w:r w:rsidR="00901BE2" w:rsidRPr="007678C3">
        <w:rPr>
          <w:rFonts w:cs="Times New Roman"/>
          <w:szCs w:val="24"/>
        </w:rPr>
        <w:t>considering</w:t>
      </w:r>
      <w:r w:rsidRPr="007678C3">
        <w:rPr>
          <w:rFonts w:cs="Times New Roman"/>
          <w:szCs w:val="24"/>
        </w:rPr>
        <w:t xml:space="preserve"> a systematic understatement of </w:t>
      </w:r>
      <w:r w:rsidR="00F76260">
        <w:rPr>
          <w:rFonts w:cs="Times New Roman"/>
          <w:szCs w:val="24"/>
        </w:rPr>
        <w:t xml:space="preserve">recorded </w:t>
      </w:r>
      <w:r w:rsidRPr="007678C3">
        <w:rPr>
          <w:rFonts w:cs="Times New Roman"/>
          <w:szCs w:val="24"/>
        </w:rPr>
        <w:t xml:space="preserve">cash </w:t>
      </w:r>
      <w:r w:rsidR="00F76260">
        <w:rPr>
          <w:rFonts w:cs="Times New Roman"/>
          <w:szCs w:val="24"/>
        </w:rPr>
        <w:t>sales</w:t>
      </w:r>
      <w:r w:rsidRPr="007678C3">
        <w:rPr>
          <w:rFonts w:cs="Times New Roman"/>
          <w:szCs w:val="24"/>
        </w:rPr>
        <w:t xml:space="preserve">, credit played an important role in the economy. </w:t>
      </w:r>
    </w:p>
    <w:p w:rsidR="00F541CE" w:rsidRDefault="00F541CE">
      <w:pPr>
        <w:rPr>
          <w:rFonts w:cs="Times New Roman"/>
          <w:szCs w:val="24"/>
        </w:rPr>
      </w:pPr>
    </w:p>
    <w:p w:rsidR="00F541CE" w:rsidRPr="00CB27C2" w:rsidRDefault="00F541CE" w:rsidP="00F541CE">
      <w:pPr>
        <w:autoSpaceDE w:val="0"/>
        <w:autoSpaceDN w:val="0"/>
        <w:adjustRightInd w:val="0"/>
        <w:jc w:val="both"/>
        <w:rPr>
          <w:szCs w:val="24"/>
        </w:rPr>
      </w:pPr>
      <w:r w:rsidRPr="00CB27C2">
        <w:rPr>
          <w:b/>
          <w:bCs/>
          <w:szCs w:val="24"/>
        </w:rPr>
        <w:t xml:space="preserve">Primary Sources </w:t>
      </w:r>
    </w:p>
    <w:p w:rsidR="00F541CE" w:rsidRPr="00CB27C2" w:rsidRDefault="00F541CE" w:rsidP="00F541CE">
      <w:pPr>
        <w:autoSpaceDE w:val="0"/>
        <w:autoSpaceDN w:val="0"/>
        <w:adjustRightInd w:val="0"/>
        <w:spacing w:after="0"/>
        <w:jc w:val="both"/>
        <w:rPr>
          <w:szCs w:val="24"/>
        </w:rPr>
      </w:pPr>
      <w:bookmarkStart w:id="1" w:name="OLE_LINK1"/>
      <w:r w:rsidRPr="00CB27C2">
        <w:rPr>
          <w:szCs w:val="24"/>
        </w:rPr>
        <w:t xml:space="preserve">Allin, Alexander.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Amory, Thomas.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t xml:space="preserve">Anonymous Blacksmith.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Anonymous Doctor.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Anonymous New Hampshire Merchant.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t xml:space="preserve">Bancroft, Benjamin.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Barker, Joshua.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Belcher, William.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Bevans, John.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Boston Merchants.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Bromfield, Henry. Cashbook.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Caldwell, Charles.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Catlin, Ebenezer.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Chandler, William.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Clark, John.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Cobb, Joseph.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Cushing, Pyam.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Dean, John.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Dean, Nathaniel.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Dorr, Ebenezer.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Dyer, Thomas.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Eustis, Benjamin.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Foster, Hopestill. Account Book. Harvard Business School, Baker Library. </w:t>
      </w:r>
    </w:p>
    <w:p w:rsidR="00F541CE" w:rsidRPr="00CB27C2" w:rsidRDefault="00F541CE" w:rsidP="00F541CE">
      <w:pPr>
        <w:autoSpaceDE w:val="0"/>
        <w:autoSpaceDN w:val="0"/>
        <w:adjustRightInd w:val="0"/>
        <w:spacing w:after="0"/>
        <w:jc w:val="both"/>
        <w:rPr>
          <w:szCs w:val="24"/>
        </w:rPr>
      </w:pPr>
      <w:r w:rsidRPr="00CB27C2">
        <w:rPr>
          <w:szCs w:val="24"/>
        </w:rPr>
        <w:t xml:space="preserve">Freeman, Constant.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t xml:space="preserve">Gay, Fisher.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Grant, Samuel.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t xml:space="preserve">Griffin, Eliphat. Account Book. Harvard Business School, Baker Library. </w:t>
      </w:r>
    </w:p>
    <w:p w:rsidR="00F541CE" w:rsidRPr="00CB27C2" w:rsidRDefault="00F541CE" w:rsidP="00F541CE">
      <w:pPr>
        <w:autoSpaceDE w:val="0"/>
        <w:autoSpaceDN w:val="0"/>
        <w:adjustRightInd w:val="0"/>
        <w:spacing w:after="0"/>
        <w:jc w:val="both"/>
        <w:rPr>
          <w:szCs w:val="24"/>
        </w:rPr>
      </w:pPr>
      <w:r w:rsidRPr="00CB27C2">
        <w:rPr>
          <w:szCs w:val="24"/>
        </w:rPr>
        <w:t xml:space="preserve">Hale, Richard.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t xml:space="preserve">Hubbard, Robert.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Hubbell, Nathan.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Kinne, Moses. Account Book. Connecticut Historical Society, Hartford. </w:t>
      </w:r>
    </w:p>
    <w:p w:rsidR="00F541CE" w:rsidRPr="00CB27C2" w:rsidRDefault="00F541CE" w:rsidP="00F541CE">
      <w:pPr>
        <w:autoSpaceDE w:val="0"/>
        <w:autoSpaceDN w:val="0"/>
        <w:adjustRightInd w:val="0"/>
        <w:spacing w:after="0"/>
        <w:jc w:val="both"/>
        <w:rPr>
          <w:szCs w:val="24"/>
        </w:rPr>
      </w:pPr>
      <w:r w:rsidRPr="00CB27C2">
        <w:rPr>
          <w:szCs w:val="24"/>
        </w:rPr>
        <w:t xml:space="preserve">Knight, Sarah. The Journal of Madam Knight. Boston: David R. Godine, 1972.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Manchester, Bayes.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Marrett, Edward. Account Book. Harvard Business School, Baker Library. </w:t>
      </w:r>
    </w:p>
    <w:p w:rsidR="00F541CE" w:rsidRPr="00CB27C2" w:rsidRDefault="00F541CE" w:rsidP="00F541CE">
      <w:pPr>
        <w:autoSpaceDE w:val="0"/>
        <w:autoSpaceDN w:val="0"/>
        <w:adjustRightInd w:val="0"/>
        <w:spacing w:after="0"/>
        <w:jc w:val="both"/>
        <w:rPr>
          <w:szCs w:val="24"/>
        </w:rPr>
      </w:pPr>
      <w:r w:rsidRPr="00CB27C2">
        <w:rPr>
          <w:szCs w:val="24"/>
        </w:rPr>
        <w:t xml:space="preserve">Midden, Joseph.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t xml:space="preserve">Miscellaneous Shipping Firm. Account Book. Massachusetts Historical Society, Boston. </w:t>
      </w:r>
    </w:p>
    <w:p w:rsidR="00F541CE" w:rsidRPr="00CB27C2" w:rsidRDefault="00F541CE" w:rsidP="00F541CE">
      <w:pPr>
        <w:autoSpaceDE w:val="0"/>
        <w:autoSpaceDN w:val="0"/>
        <w:adjustRightInd w:val="0"/>
        <w:spacing w:after="0"/>
        <w:jc w:val="both"/>
        <w:rPr>
          <w:szCs w:val="24"/>
        </w:rPr>
      </w:pPr>
      <w:r w:rsidRPr="00CB27C2">
        <w:rPr>
          <w:szCs w:val="24"/>
        </w:rPr>
        <w:lastRenderedPageBreak/>
        <w:t xml:space="preserve">New Haven General Store.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Parker, Jonathan.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Plummer, Ebenezer.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Rea, Daniel.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Reeves, Cockerl.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Root, Timothy.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Shove, George.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Smith, Reuben.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Starr, Jehosaphat.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Stockbridge, Benjamin. Account Book. Massachusetts Historical Society, Boston.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Stokes, Jonathan.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Storer, Ebenezer. Account Book. Harvard Business School, Baker Library.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Trumbull, Jonathan.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Wolcott, Alexander. Account Book. Connecticut Historical Society, Hartford. </w:t>
      </w:r>
    </w:p>
    <w:p w:rsidR="00F541CE" w:rsidRPr="00CB27C2" w:rsidRDefault="00F541CE" w:rsidP="00F541CE">
      <w:pPr>
        <w:autoSpaceDE w:val="0"/>
        <w:autoSpaceDN w:val="0"/>
        <w:adjustRightInd w:val="0"/>
        <w:spacing w:after="0"/>
        <w:ind w:left="720" w:hanging="720"/>
        <w:jc w:val="both"/>
        <w:rPr>
          <w:szCs w:val="24"/>
        </w:rPr>
      </w:pPr>
      <w:r w:rsidRPr="00CB27C2">
        <w:rPr>
          <w:szCs w:val="24"/>
        </w:rPr>
        <w:t xml:space="preserve">Young, Isaac. Account Book. Connecticut Historical Society, Hartford. </w:t>
      </w:r>
    </w:p>
    <w:bookmarkEnd w:id="1"/>
    <w:p w:rsidR="00F541CE" w:rsidRPr="00CB27C2" w:rsidRDefault="00F541CE" w:rsidP="00F541CE">
      <w:pPr>
        <w:autoSpaceDE w:val="0"/>
        <w:autoSpaceDN w:val="0"/>
        <w:adjustRightInd w:val="0"/>
        <w:jc w:val="both"/>
        <w:outlineLvl w:val="4"/>
        <w:rPr>
          <w:b/>
          <w:bCs/>
          <w:szCs w:val="24"/>
        </w:rPr>
      </w:pPr>
    </w:p>
    <w:p w:rsidR="00F541CE" w:rsidRPr="00CB27C2" w:rsidRDefault="00F541CE" w:rsidP="00F541CE">
      <w:pPr>
        <w:rPr>
          <w:szCs w:val="24"/>
        </w:rPr>
      </w:pPr>
    </w:p>
    <w:p w:rsidR="007267DA" w:rsidRDefault="007267DA">
      <w:pPr>
        <w:rPr>
          <w:b/>
          <w:bCs/>
          <w:szCs w:val="24"/>
        </w:rPr>
      </w:pPr>
      <w:r>
        <w:rPr>
          <w:b/>
          <w:bCs/>
          <w:szCs w:val="24"/>
        </w:rPr>
        <w:br w:type="page"/>
      </w:r>
    </w:p>
    <w:p w:rsidR="00F541CE" w:rsidRPr="00CB27C2" w:rsidRDefault="00F541CE" w:rsidP="00F541CE">
      <w:pPr>
        <w:autoSpaceDE w:val="0"/>
        <w:autoSpaceDN w:val="0"/>
        <w:adjustRightInd w:val="0"/>
        <w:jc w:val="both"/>
        <w:outlineLvl w:val="4"/>
        <w:rPr>
          <w:szCs w:val="24"/>
        </w:rPr>
      </w:pPr>
      <w:r w:rsidRPr="00CB27C2">
        <w:rPr>
          <w:b/>
          <w:bCs/>
          <w:szCs w:val="24"/>
        </w:rPr>
        <w:lastRenderedPageBreak/>
        <w:t xml:space="preserve">Secondary Sources </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Bailyn, B. (1979) </w:t>
      </w:r>
      <w:r w:rsidRPr="00CB27C2">
        <w:rPr>
          <w:i/>
          <w:szCs w:val="24"/>
        </w:rPr>
        <w:t>The New England Merchants in the Seventeenth-Century</w:t>
      </w:r>
      <w:r w:rsidRPr="00CB27C2">
        <w:rPr>
          <w:szCs w:val="24"/>
        </w:rPr>
        <w:t xml:space="preserve"> (Cambridge: Harvard University Press)</w:t>
      </w:r>
    </w:p>
    <w:p w:rsidR="00F541CE" w:rsidRPr="00CB27C2" w:rsidRDefault="00F541CE" w:rsidP="00B75613">
      <w:pPr>
        <w:spacing w:after="0" w:line="480" w:lineRule="auto"/>
        <w:jc w:val="both"/>
        <w:rPr>
          <w:szCs w:val="24"/>
        </w:rPr>
      </w:pPr>
      <w:r w:rsidRPr="00CB27C2">
        <w:rPr>
          <w:szCs w:val="24"/>
        </w:rPr>
        <w:t>Baker Library Historical Collections, Harvard Business School.  Cambridge, Massachusetts.</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Baxter, W.T. (1945). </w:t>
      </w:r>
      <w:r w:rsidRPr="00CB27C2">
        <w:rPr>
          <w:i/>
          <w:szCs w:val="24"/>
        </w:rPr>
        <w:t>The House of Hancock-Business in Boston, 1724-75</w:t>
      </w:r>
      <w:r w:rsidRPr="00CB27C2">
        <w:rPr>
          <w:szCs w:val="24"/>
        </w:rPr>
        <w:t xml:space="preserve"> (Cambridge, Massachusetts: Harvard University Press)</w:t>
      </w:r>
    </w:p>
    <w:p w:rsidR="00F541CE" w:rsidRPr="00CB27C2" w:rsidRDefault="00F541CE" w:rsidP="00B75613">
      <w:pPr>
        <w:autoSpaceDE w:val="0"/>
        <w:autoSpaceDN w:val="0"/>
        <w:adjustRightInd w:val="0"/>
        <w:spacing w:after="0" w:line="480" w:lineRule="auto"/>
        <w:ind w:left="720" w:hanging="720"/>
        <w:jc w:val="both"/>
        <w:rPr>
          <w:szCs w:val="24"/>
        </w:rPr>
      </w:pPr>
      <w:r w:rsidRPr="00CB27C2">
        <w:rPr>
          <w:rStyle w:val="personname"/>
          <w:szCs w:val="24"/>
        </w:rPr>
        <w:t>Baxter, W. T.</w:t>
      </w:r>
      <w:r w:rsidRPr="00CB27C2">
        <w:rPr>
          <w:szCs w:val="24"/>
        </w:rPr>
        <w:t xml:space="preserve"> (2004), “Accounting in colonial America - observations on money, barter and bookkeeping,” </w:t>
      </w:r>
      <w:r w:rsidRPr="00CB27C2">
        <w:rPr>
          <w:rStyle w:val="Emphasis"/>
          <w:szCs w:val="24"/>
        </w:rPr>
        <w:t>Accounting Historians Journal</w:t>
      </w:r>
      <w:r w:rsidRPr="00CB27C2">
        <w:rPr>
          <w:szCs w:val="24"/>
        </w:rPr>
        <w:t>, Vol. 31, No. 1: 129-140.</w:t>
      </w:r>
    </w:p>
    <w:p w:rsidR="00F541CE" w:rsidRPr="00CB27C2" w:rsidRDefault="00F541CE" w:rsidP="00B75613">
      <w:pPr>
        <w:autoSpaceDE w:val="0"/>
        <w:autoSpaceDN w:val="0"/>
        <w:adjustRightInd w:val="0"/>
        <w:spacing w:after="0" w:line="480" w:lineRule="auto"/>
        <w:jc w:val="both"/>
        <w:rPr>
          <w:szCs w:val="24"/>
        </w:rPr>
      </w:pPr>
      <w:r w:rsidRPr="00CB27C2">
        <w:rPr>
          <w:szCs w:val="24"/>
        </w:rPr>
        <w:t xml:space="preserve">Bridenbaugh, C. (1990).  </w:t>
      </w:r>
      <w:r w:rsidRPr="00CB27C2">
        <w:rPr>
          <w:i/>
          <w:szCs w:val="24"/>
        </w:rPr>
        <w:t>The Colonial Craftsman</w:t>
      </w:r>
      <w:r w:rsidRPr="00CB27C2">
        <w:rPr>
          <w:szCs w:val="24"/>
        </w:rPr>
        <w:t xml:space="preserve"> (New York: Dover Publications). </w:t>
      </w:r>
    </w:p>
    <w:p w:rsidR="00F541CE" w:rsidRPr="00CB27C2" w:rsidRDefault="00F541CE" w:rsidP="00B75613">
      <w:pPr>
        <w:spacing w:after="0" w:line="480" w:lineRule="auto"/>
        <w:jc w:val="both"/>
        <w:rPr>
          <w:szCs w:val="24"/>
        </w:rPr>
      </w:pPr>
      <w:r w:rsidRPr="00CB27C2">
        <w:rPr>
          <w:szCs w:val="24"/>
        </w:rPr>
        <w:t>Connecticut Historical Society. Hartford, Connecticut.</w:t>
      </w:r>
    </w:p>
    <w:p w:rsidR="00F541CE" w:rsidRPr="00CB27C2" w:rsidRDefault="00F541CE" w:rsidP="00B75613">
      <w:pPr>
        <w:spacing w:after="0" w:line="480" w:lineRule="auto"/>
        <w:ind w:left="720" w:hanging="720"/>
        <w:jc w:val="both"/>
        <w:rPr>
          <w:szCs w:val="24"/>
        </w:rPr>
      </w:pPr>
      <w:r w:rsidRPr="00CB27C2">
        <w:rPr>
          <w:szCs w:val="24"/>
        </w:rPr>
        <w:t xml:space="preserve">Flynn, D.T. (2005), “The Duration of Book Credit in Colonial New England.” </w:t>
      </w:r>
      <w:r w:rsidRPr="00CB27C2">
        <w:rPr>
          <w:i/>
          <w:szCs w:val="24"/>
        </w:rPr>
        <w:t>Historical Methods: A Journal of Quantitative and Interdisciplinary History</w:t>
      </w:r>
      <w:r w:rsidRPr="00CB27C2">
        <w:rPr>
          <w:szCs w:val="24"/>
        </w:rPr>
        <w:t>, Vol. 38, No. 4: 168-177.</w:t>
      </w:r>
    </w:p>
    <w:p w:rsidR="00F541CE" w:rsidRPr="00CB27C2" w:rsidRDefault="00F541CE" w:rsidP="00B75613">
      <w:pPr>
        <w:autoSpaceDE w:val="0"/>
        <w:autoSpaceDN w:val="0"/>
        <w:adjustRightInd w:val="0"/>
        <w:spacing w:after="0" w:line="480" w:lineRule="auto"/>
        <w:jc w:val="both"/>
        <w:rPr>
          <w:szCs w:val="24"/>
        </w:rPr>
      </w:pPr>
      <w:r w:rsidRPr="00CB27C2">
        <w:rPr>
          <w:szCs w:val="24"/>
        </w:rPr>
        <w:t xml:space="preserve">Hawtrey, R.G. (1950). </w:t>
      </w:r>
      <w:r w:rsidRPr="00CB27C2">
        <w:rPr>
          <w:i/>
          <w:szCs w:val="24"/>
        </w:rPr>
        <w:t xml:space="preserve">Currency and Credit </w:t>
      </w:r>
      <w:r w:rsidRPr="00CB27C2">
        <w:rPr>
          <w:szCs w:val="24"/>
        </w:rPr>
        <w:t>(Aberdeen: The University Press).</w:t>
      </w:r>
    </w:p>
    <w:p w:rsidR="00CA658B" w:rsidRDefault="00CA658B" w:rsidP="00B75613">
      <w:pPr>
        <w:autoSpaceDE w:val="0"/>
        <w:autoSpaceDN w:val="0"/>
        <w:adjustRightInd w:val="0"/>
        <w:spacing w:after="0" w:line="480" w:lineRule="auto"/>
        <w:ind w:left="720" w:hanging="720"/>
        <w:jc w:val="both"/>
        <w:rPr>
          <w:szCs w:val="24"/>
        </w:rPr>
      </w:pPr>
      <w:r>
        <w:rPr>
          <w:szCs w:val="24"/>
        </w:rPr>
        <w:t xml:space="preserve">Hollister, J. and S. M. Schultz (2007), “The Elting and Hasbrouck store accounts: a window into eighteenth century commerce,” </w:t>
      </w:r>
      <w:r w:rsidRPr="00CA658B">
        <w:rPr>
          <w:i/>
          <w:szCs w:val="24"/>
        </w:rPr>
        <w:t>Accounting History</w:t>
      </w:r>
      <w:r>
        <w:rPr>
          <w:szCs w:val="24"/>
        </w:rPr>
        <w:t>, Vol. 12, No. 4: 417-440.</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Jones, A.H. (1980). </w:t>
      </w:r>
      <w:r w:rsidRPr="00CB27C2">
        <w:rPr>
          <w:i/>
          <w:szCs w:val="24"/>
        </w:rPr>
        <w:t>Wealth of a Nation to Be: The American Colonies on the Eve of the Revolution</w:t>
      </w:r>
      <w:r w:rsidRPr="00CB27C2">
        <w:rPr>
          <w:szCs w:val="24"/>
        </w:rPr>
        <w:t xml:space="preserve"> (New York: Columbia University Press). </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Martin, M. (1939), “Merchants and Trade of the Connecticut River Valley, 1750-1820,” </w:t>
      </w:r>
      <w:r w:rsidRPr="00CB27C2">
        <w:rPr>
          <w:i/>
          <w:szCs w:val="24"/>
        </w:rPr>
        <w:t>Smith College Studies in History</w:t>
      </w:r>
      <w:r w:rsidRPr="00CB27C2">
        <w:rPr>
          <w:szCs w:val="24"/>
        </w:rPr>
        <w:t>, Vol. 25, (Northampton, Massachusetts: Department of History, Smith College).</w:t>
      </w:r>
    </w:p>
    <w:p w:rsidR="00F541CE" w:rsidRPr="00CB27C2" w:rsidRDefault="00F541CE" w:rsidP="00B75613">
      <w:pPr>
        <w:spacing w:after="0" w:line="480" w:lineRule="auto"/>
        <w:jc w:val="both"/>
        <w:rPr>
          <w:szCs w:val="24"/>
        </w:rPr>
      </w:pPr>
      <w:r w:rsidRPr="00CB27C2">
        <w:rPr>
          <w:szCs w:val="24"/>
        </w:rPr>
        <w:t>Massachusetts Historical Society. Boston, Massachusetts.</w:t>
      </w:r>
    </w:p>
    <w:p w:rsidR="00F541CE" w:rsidRPr="00CB27C2" w:rsidRDefault="00F541CE" w:rsidP="00B75613">
      <w:pPr>
        <w:spacing w:after="0" w:line="480" w:lineRule="auto"/>
        <w:ind w:left="720" w:hanging="720"/>
        <w:jc w:val="both"/>
        <w:rPr>
          <w:szCs w:val="24"/>
        </w:rPr>
      </w:pPr>
      <w:r w:rsidRPr="00CB27C2">
        <w:rPr>
          <w:szCs w:val="24"/>
        </w:rPr>
        <w:t xml:space="preserve">McCusker, J.J.  (1978). </w:t>
      </w:r>
      <w:r w:rsidRPr="00CB27C2">
        <w:rPr>
          <w:i/>
          <w:iCs/>
          <w:szCs w:val="24"/>
        </w:rPr>
        <w:t>Money and Exchange in Europe and America, 1600-1775: A Handbook</w:t>
      </w:r>
      <w:r w:rsidRPr="00CB27C2">
        <w:rPr>
          <w:szCs w:val="24"/>
        </w:rPr>
        <w:t xml:space="preserve"> (Chapel Hill: University of North Carolina Press).</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lastRenderedPageBreak/>
        <w:t xml:space="preserve">McCusker, J.J. (1991), “How Much Is That in Real Money? A Historical Price Index for Use as a Deflator of Money Values in the Economy of the United States,” </w:t>
      </w:r>
      <w:r w:rsidRPr="00CB27C2">
        <w:rPr>
          <w:i/>
          <w:szCs w:val="24"/>
        </w:rPr>
        <w:t>Proceedings of the American Antiquarian Society</w:t>
      </w:r>
      <w:r w:rsidRPr="00CB27C2">
        <w:rPr>
          <w:szCs w:val="24"/>
        </w:rPr>
        <w:t xml:space="preserve">, Vol. 101, Part 2. </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McCusker, J.J., and Menard, R.R. (1985), </w:t>
      </w:r>
      <w:r w:rsidRPr="00CB27C2">
        <w:rPr>
          <w:i/>
          <w:szCs w:val="24"/>
        </w:rPr>
        <w:t>The Economy of British America, 1607-1789.</w:t>
      </w:r>
      <w:r w:rsidRPr="00CB27C2">
        <w:rPr>
          <w:szCs w:val="24"/>
        </w:rPr>
        <w:t xml:space="preserve"> (Chapel Hill: University of North Carolina Press)</w:t>
      </w:r>
    </w:p>
    <w:p w:rsidR="00F541CE" w:rsidRPr="00CB27C2" w:rsidRDefault="00F541CE" w:rsidP="00B75613">
      <w:pPr>
        <w:spacing w:after="0" w:line="480" w:lineRule="auto"/>
        <w:jc w:val="both"/>
        <w:rPr>
          <w:szCs w:val="24"/>
        </w:rPr>
      </w:pPr>
      <w:r w:rsidRPr="00CB27C2">
        <w:rPr>
          <w:szCs w:val="24"/>
        </w:rPr>
        <w:t xml:space="preserve">Perkins, E.J. (1988).  </w:t>
      </w:r>
      <w:r w:rsidRPr="00CB27C2">
        <w:rPr>
          <w:i/>
          <w:szCs w:val="24"/>
        </w:rPr>
        <w:t>The Economy of Colonial America</w:t>
      </w:r>
      <w:r w:rsidRPr="00CB27C2">
        <w:rPr>
          <w:szCs w:val="24"/>
        </w:rPr>
        <w:t xml:space="preserve"> (New York: Columbia University Press)</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Smith, B.D. (1985), “American Colonial Monetary Regimes: The Failure of the Quantity Theory and Some Evidence in Favor of an Alternate View.” </w:t>
      </w:r>
      <w:r w:rsidRPr="00CB27C2">
        <w:rPr>
          <w:i/>
          <w:szCs w:val="24"/>
        </w:rPr>
        <w:t>Canadian Journal of Economics</w:t>
      </w:r>
      <w:r w:rsidRPr="00CB27C2">
        <w:rPr>
          <w:szCs w:val="24"/>
        </w:rPr>
        <w:t xml:space="preserve">, Vol. 18: 531-565. </w:t>
      </w:r>
    </w:p>
    <w:p w:rsidR="00F541CE" w:rsidRPr="00CB27C2" w:rsidRDefault="00F541CE" w:rsidP="00B75613">
      <w:pPr>
        <w:autoSpaceDE w:val="0"/>
        <w:autoSpaceDN w:val="0"/>
        <w:adjustRightInd w:val="0"/>
        <w:spacing w:after="0" w:line="480" w:lineRule="auto"/>
        <w:ind w:left="720" w:hanging="720"/>
        <w:jc w:val="both"/>
        <w:rPr>
          <w:szCs w:val="24"/>
        </w:rPr>
      </w:pPr>
      <w:r w:rsidRPr="00CB27C2">
        <w:rPr>
          <w:szCs w:val="24"/>
        </w:rPr>
        <w:t xml:space="preserve">Weiss, R. (1970), “The Issue of Paper Money in the American Colonies, 1720-1774” </w:t>
      </w:r>
      <w:r w:rsidRPr="00CB27C2">
        <w:rPr>
          <w:i/>
          <w:szCs w:val="24"/>
        </w:rPr>
        <w:t>Journal of Economic History</w:t>
      </w:r>
      <w:r w:rsidRPr="00CB27C2">
        <w:rPr>
          <w:szCs w:val="24"/>
        </w:rPr>
        <w:t>, Vol. 30, No. 4: 770-784.</w:t>
      </w:r>
    </w:p>
    <w:p w:rsidR="005E1345" w:rsidRDefault="005E1345">
      <w:pPr>
        <w:rPr>
          <w:rFonts w:cs="Times New Roman"/>
          <w:szCs w:val="24"/>
        </w:rPr>
      </w:pPr>
      <w:r>
        <w:rPr>
          <w:rFonts w:cs="Times New Roman"/>
          <w:szCs w:val="24"/>
        </w:rPr>
        <w:br w:type="page"/>
      </w:r>
    </w:p>
    <w:p w:rsidR="006B3FA8" w:rsidRDefault="006B3FA8" w:rsidP="006B3FA8">
      <w:pPr>
        <w:autoSpaceDE w:val="0"/>
        <w:autoSpaceDN w:val="0"/>
        <w:adjustRightInd w:val="0"/>
        <w:spacing w:after="0" w:line="480" w:lineRule="auto"/>
        <w:jc w:val="both"/>
        <w:rPr>
          <w:rFonts w:cs="Times New Roman"/>
          <w:szCs w:val="24"/>
        </w:rPr>
      </w:pPr>
    </w:p>
    <w:p w:rsidR="005E1345" w:rsidRDefault="00B75F03" w:rsidP="006B3FA8">
      <w:pPr>
        <w:spacing w:after="0" w:line="480" w:lineRule="auto"/>
        <w:jc w:val="both"/>
        <w:rPr>
          <w:b/>
        </w:rPr>
      </w:pPr>
      <w:r w:rsidRPr="00A47F35">
        <w:rPr>
          <w:b/>
        </w:rPr>
        <w:t xml:space="preserve">Figure </w:t>
      </w:r>
      <w:r w:rsidR="00564A82" w:rsidRPr="00A47F35">
        <w:rPr>
          <w:b/>
        </w:rPr>
        <w:t>1</w:t>
      </w:r>
      <w:r w:rsidRPr="00A47F35">
        <w:rPr>
          <w:b/>
        </w:rPr>
        <w:t>.</w:t>
      </w:r>
      <w:r w:rsidR="000F06EB">
        <w:rPr>
          <w:b/>
        </w:rPr>
        <w:t xml:space="preserve"> </w:t>
      </w:r>
      <w:r w:rsidRPr="00A47F35">
        <w:rPr>
          <w:b/>
        </w:rPr>
        <w:t xml:space="preserve">  </w:t>
      </w:r>
    </w:p>
    <w:p w:rsidR="00B75F03" w:rsidRPr="00A47F35" w:rsidRDefault="00B75F03" w:rsidP="006B3FA8">
      <w:pPr>
        <w:spacing w:after="0" w:line="480" w:lineRule="auto"/>
        <w:jc w:val="both"/>
        <w:rPr>
          <w:b/>
        </w:rPr>
      </w:pPr>
      <w:r w:rsidRPr="00A47F35">
        <w:rPr>
          <w:b/>
        </w:rPr>
        <w:t xml:space="preserve">Account of Samuel Swan, </w:t>
      </w:r>
      <w:r w:rsidR="00353135" w:rsidRPr="00A47F35">
        <w:rPr>
          <w:b/>
        </w:rPr>
        <w:t>customer</w:t>
      </w:r>
      <w:r w:rsidRPr="00A47F35">
        <w:rPr>
          <w:b/>
        </w:rPr>
        <w:t>, with Jonathan Parker, Merchant</w:t>
      </w:r>
    </w:p>
    <w:p w:rsidR="00B75F03" w:rsidRDefault="00B75F03" w:rsidP="006B3FA8">
      <w:pPr>
        <w:spacing w:after="0" w:line="480" w:lineRule="auto"/>
        <w:jc w:val="both"/>
      </w:pPr>
    </w:p>
    <w:tbl>
      <w:tblPr>
        <w:tblW w:w="6629" w:type="dxa"/>
        <w:jc w:val="center"/>
        <w:tblCellMar>
          <w:left w:w="0" w:type="dxa"/>
          <w:right w:w="0" w:type="dxa"/>
        </w:tblCellMar>
        <w:tblLook w:val="0000" w:firstRow="0" w:lastRow="0" w:firstColumn="0" w:lastColumn="0" w:noHBand="0" w:noVBand="0"/>
      </w:tblPr>
      <w:tblGrid>
        <w:gridCol w:w="1099"/>
        <w:gridCol w:w="1699"/>
        <w:gridCol w:w="782"/>
        <w:gridCol w:w="984"/>
        <w:gridCol w:w="1251"/>
        <w:gridCol w:w="814"/>
      </w:tblGrid>
      <w:tr w:rsidR="00B75F03" w:rsidTr="0025109B">
        <w:trPr>
          <w:trHeight w:val="859"/>
          <w:jc w:val="center"/>
        </w:trPr>
        <w:tc>
          <w:tcPr>
            <w:tcW w:w="1040" w:type="dxa"/>
            <w:tcBorders>
              <w:top w:val="nil"/>
              <w:left w:val="nil"/>
              <w:bottom w:val="single" w:sz="4" w:space="0" w:color="auto"/>
              <w:right w:val="single" w:sz="4" w:space="0" w:color="auto"/>
            </w:tcBorders>
            <w:noWrap/>
            <w:vAlign w:val="bottom"/>
          </w:tcPr>
          <w:p w:rsidR="00B75F03" w:rsidRDefault="00B75F03" w:rsidP="00BE76E1">
            <w:pPr>
              <w:spacing w:after="0" w:line="240" w:lineRule="auto"/>
              <w:jc w:val="center"/>
              <w:rPr>
                <w:b/>
                <w:bCs/>
              </w:rPr>
            </w:pPr>
          </w:p>
        </w:tc>
        <w:tc>
          <w:tcPr>
            <w:tcW w:w="1884" w:type="dxa"/>
            <w:tcBorders>
              <w:top w:val="nil"/>
              <w:left w:val="single" w:sz="4" w:space="0" w:color="auto"/>
              <w:bottom w:val="single" w:sz="4" w:space="0" w:color="auto"/>
              <w:right w:val="single" w:sz="4" w:space="0" w:color="auto"/>
            </w:tcBorders>
            <w:vAlign w:val="bottom"/>
          </w:tcPr>
          <w:p w:rsidR="00B75F03" w:rsidRDefault="00B75F03" w:rsidP="00BE76E1">
            <w:pPr>
              <w:pStyle w:val="Heading5"/>
            </w:pPr>
          </w:p>
        </w:tc>
        <w:tc>
          <w:tcPr>
            <w:tcW w:w="782"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Debit</w:t>
            </w:r>
          </w:p>
        </w:tc>
        <w:tc>
          <w:tcPr>
            <w:tcW w:w="941" w:type="dxa"/>
            <w:tcBorders>
              <w:top w:val="nil"/>
              <w:left w:val="single" w:sz="4" w:space="0" w:color="auto"/>
              <w:bottom w:val="single" w:sz="4" w:space="0" w:color="auto"/>
              <w:right w:val="single" w:sz="4" w:space="0" w:color="auto"/>
            </w:tcBorders>
            <w:vAlign w:val="bottom"/>
          </w:tcPr>
          <w:p w:rsidR="00B75F03" w:rsidRDefault="00B75F03" w:rsidP="00BE76E1">
            <w:pPr>
              <w:spacing w:after="0" w:line="240" w:lineRule="auto"/>
              <w:jc w:val="center"/>
              <w:rPr>
                <w:b/>
                <w:bCs/>
              </w:rPr>
            </w:pPr>
          </w:p>
        </w:tc>
        <w:tc>
          <w:tcPr>
            <w:tcW w:w="1168" w:type="dxa"/>
            <w:tcBorders>
              <w:top w:val="nil"/>
              <w:left w:val="single" w:sz="4" w:space="0" w:color="auto"/>
              <w:bottom w:val="single" w:sz="4" w:space="0" w:color="auto"/>
              <w:right w:val="nil"/>
            </w:tcBorders>
            <w:vAlign w:val="bottom"/>
          </w:tcPr>
          <w:p w:rsidR="00B75F03" w:rsidRDefault="00B75F03" w:rsidP="00BE76E1">
            <w:pPr>
              <w:spacing w:after="0" w:line="240" w:lineRule="auto"/>
              <w:jc w:val="center"/>
              <w:rPr>
                <w:b/>
                <w:bCs/>
              </w:rPr>
            </w:pPr>
          </w:p>
        </w:tc>
        <w:tc>
          <w:tcPr>
            <w:tcW w:w="814"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Credit</w:t>
            </w:r>
          </w:p>
        </w:tc>
      </w:tr>
      <w:tr w:rsidR="00B75F03" w:rsidTr="0025109B">
        <w:trPr>
          <w:trHeight w:val="859"/>
          <w:jc w:val="center"/>
        </w:trPr>
        <w:tc>
          <w:tcPr>
            <w:tcW w:w="1040" w:type="dxa"/>
            <w:tcBorders>
              <w:top w:val="nil"/>
              <w:left w:val="nil"/>
              <w:bottom w:val="single" w:sz="4" w:space="0" w:color="auto"/>
              <w:right w:val="single" w:sz="4" w:space="0" w:color="auto"/>
            </w:tcBorders>
            <w:noWrap/>
            <w:vAlign w:val="bottom"/>
          </w:tcPr>
          <w:p w:rsidR="00B75F03" w:rsidRDefault="00B75F03" w:rsidP="00BE76E1">
            <w:pPr>
              <w:spacing w:after="0" w:line="240" w:lineRule="auto"/>
              <w:jc w:val="center"/>
              <w:rPr>
                <w:b/>
                <w:bCs/>
              </w:rPr>
            </w:pPr>
            <w:r>
              <w:rPr>
                <w:b/>
                <w:bCs/>
              </w:rPr>
              <w:t>Date</w:t>
            </w:r>
          </w:p>
        </w:tc>
        <w:tc>
          <w:tcPr>
            <w:tcW w:w="1884" w:type="dxa"/>
            <w:tcBorders>
              <w:top w:val="nil"/>
              <w:left w:val="single" w:sz="4" w:space="0" w:color="auto"/>
              <w:bottom w:val="single" w:sz="4" w:space="0" w:color="auto"/>
              <w:right w:val="single" w:sz="4" w:space="0" w:color="auto"/>
            </w:tcBorders>
            <w:vAlign w:val="bottom"/>
          </w:tcPr>
          <w:p w:rsidR="00B75F03" w:rsidRDefault="00B75F03" w:rsidP="00BE76E1">
            <w:pPr>
              <w:pStyle w:val="Heading5"/>
            </w:pPr>
            <w:r>
              <w:t>Transaction</w:t>
            </w:r>
          </w:p>
        </w:tc>
        <w:tc>
          <w:tcPr>
            <w:tcW w:w="782"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Pounds</w:t>
            </w:r>
          </w:p>
        </w:tc>
        <w:tc>
          <w:tcPr>
            <w:tcW w:w="941" w:type="dxa"/>
            <w:tcBorders>
              <w:top w:val="nil"/>
              <w:left w:val="single" w:sz="4" w:space="0" w:color="auto"/>
              <w:bottom w:val="single" w:sz="4" w:space="0" w:color="auto"/>
              <w:right w:val="single" w:sz="4" w:space="0" w:color="auto"/>
            </w:tcBorders>
            <w:vAlign w:val="bottom"/>
          </w:tcPr>
          <w:p w:rsidR="00B75F03" w:rsidRDefault="00B75F03" w:rsidP="00BE76E1">
            <w:pPr>
              <w:spacing w:after="0" w:line="240" w:lineRule="auto"/>
              <w:jc w:val="center"/>
              <w:rPr>
                <w:b/>
                <w:bCs/>
              </w:rPr>
            </w:pPr>
            <w:r>
              <w:rPr>
                <w:b/>
                <w:bCs/>
              </w:rPr>
              <w:t>Date</w:t>
            </w:r>
          </w:p>
        </w:tc>
        <w:tc>
          <w:tcPr>
            <w:tcW w:w="1168" w:type="dxa"/>
            <w:tcBorders>
              <w:top w:val="nil"/>
              <w:left w:val="single" w:sz="4" w:space="0" w:color="auto"/>
              <w:bottom w:val="single" w:sz="4" w:space="0" w:color="auto"/>
              <w:right w:val="nil"/>
            </w:tcBorders>
            <w:vAlign w:val="bottom"/>
          </w:tcPr>
          <w:p w:rsidR="00B75F03" w:rsidRDefault="00B75F03" w:rsidP="00BE76E1">
            <w:pPr>
              <w:spacing w:after="0" w:line="240" w:lineRule="auto"/>
              <w:jc w:val="center"/>
              <w:rPr>
                <w:b/>
                <w:bCs/>
              </w:rPr>
            </w:pPr>
            <w:r>
              <w:rPr>
                <w:b/>
                <w:bCs/>
              </w:rPr>
              <w:t>Transaction</w:t>
            </w:r>
          </w:p>
        </w:tc>
        <w:tc>
          <w:tcPr>
            <w:tcW w:w="814"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Pounds</w:t>
            </w:r>
          </w:p>
        </w:tc>
      </w:tr>
      <w:tr w:rsidR="00B75F03" w:rsidTr="0025109B">
        <w:trPr>
          <w:trHeight w:val="255"/>
          <w:jc w:val="center"/>
        </w:trPr>
        <w:tc>
          <w:tcPr>
            <w:tcW w:w="1040" w:type="dxa"/>
            <w:tcBorders>
              <w:top w:val="single" w:sz="4" w:space="0" w:color="auto"/>
              <w:left w:val="nil"/>
              <w:bottom w:val="nil"/>
              <w:right w:val="single" w:sz="4" w:space="0" w:color="auto"/>
            </w:tcBorders>
            <w:noWrap/>
            <w:vAlign w:val="bottom"/>
          </w:tcPr>
          <w:p w:rsidR="00B75F03" w:rsidRDefault="00B75F03" w:rsidP="00BE76E1">
            <w:pPr>
              <w:spacing w:after="0" w:line="240" w:lineRule="auto"/>
              <w:jc w:val="center"/>
            </w:pPr>
            <w:r>
              <w:t>11/28/1749</w:t>
            </w:r>
          </w:p>
        </w:tc>
        <w:tc>
          <w:tcPr>
            <w:tcW w:w="1884" w:type="dxa"/>
            <w:tcBorders>
              <w:top w:val="single" w:sz="4" w:space="0" w:color="auto"/>
              <w:left w:val="single" w:sz="4" w:space="0" w:color="auto"/>
              <w:bottom w:val="nil"/>
              <w:right w:val="single" w:sz="4" w:space="0" w:color="auto"/>
            </w:tcBorders>
            <w:vAlign w:val="bottom"/>
          </w:tcPr>
          <w:p w:rsidR="00B75F03" w:rsidRDefault="00B75F03" w:rsidP="00BE76E1">
            <w:pPr>
              <w:spacing w:after="0" w:line="240" w:lineRule="auto"/>
              <w:jc w:val="center"/>
            </w:pPr>
            <w:r>
              <w:t>to 12 ll ¾ of cheese @4/3</w:t>
            </w:r>
          </w:p>
        </w:tc>
        <w:tc>
          <w:tcPr>
            <w:tcW w:w="782" w:type="dxa"/>
            <w:tcBorders>
              <w:top w:val="single" w:sz="4" w:space="0" w:color="auto"/>
              <w:left w:val="single" w:sz="4" w:space="0" w:color="auto"/>
              <w:bottom w:val="nil"/>
              <w:right w:val="single" w:sz="4" w:space="0" w:color="auto"/>
            </w:tcBorders>
            <w:noWrap/>
            <w:vAlign w:val="bottom"/>
          </w:tcPr>
          <w:p w:rsidR="00B75F03" w:rsidRDefault="00B75F03" w:rsidP="00BE76E1">
            <w:pPr>
              <w:spacing w:after="0" w:line="240" w:lineRule="auto"/>
              <w:jc w:val="center"/>
            </w:pPr>
            <w:r>
              <w:t>2.70</w:t>
            </w:r>
          </w:p>
        </w:tc>
        <w:tc>
          <w:tcPr>
            <w:tcW w:w="941" w:type="dxa"/>
            <w:tcBorders>
              <w:top w:val="single" w:sz="4" w:space="0" w:color="auto"/>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single" w:sz="4" w:space="0" w:color="auto"/>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single" w:sz="4" w:space="0" w:color="auto"/>
              <w:left w:val="single" w:sz="4" w:space="0" w:color="auto"/>
              <w:bottom w:val="nil"/>
            </w:tcBorders>
            <w:noWrap/>
            <w:vAlign w:val="bottom"/>
          </w:tcPr>
          <w:p w:rsidR="00B75F03" w:rsidRDefault="00B75F03" w:rsidP="00BE76E1">
            <w:pPr>
              <w:spacing w:after="0" w:line="240" w:lineRule="auto"/>
              <w:jc w:val="center"/>
            </w:pPr>
          </w:p>
        </w:tc>
      </w:tr>
      <w:tr w:rsidR="00B75F03" w:rsidTr="0025109B">
        <w:trPr>
          <w:trHeight w:val="255"/>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r>
              <w:t>1/24/1750</w:t>
            </w: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3 ll of sugar @4/</w:t>
            </w: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0.60</w:t>
            </w:r>
          </w:p>
        </w:tc>
        <w:tc>
          <w:tcPr>
            <w:tcW w:w="94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25109B">
        <w:trPr>
          <w:trHeight w:val="255"/>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r>
              <w:t>2/10/1750</w:t>
            </w: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2 ll of ditto @5/</w:t>
            </w: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0.50</w:t>
            </w:r>
          </w:p>
        </w:tc>
        <w:tc>
          <w:tcPr>
            <w:tcW w:w="94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25109B">
        <w:trPr>
          <w:trHeight w:val="255"/>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p>
        </w:tc>
        <w:tc>
          <w:tcPr>
            <w:tcW w:w="941"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7/18/1750</w:t>
            </w:r>
          </w:p>
        </w:tc>
        <w:tc>
          <w:tcPr>
            <w:tcW w:w="1168"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by wiggs &amp; shaving</w:t>
            </w: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r>
              <w:t>29.00</w:t>
            </w:r>
          </w:p>
        </w:tc>
      </w:tr>
      <w:tr w:rsidR="00B75F03" w:rsidTr="0025109B">
        <w:trPr>
          <w:trHeight w:val="510"/>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r>
              <w:t>7/27/1750</w:t>
            </w: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Earthen ware dld Mr. Blair p yr order</w:t>
            </w: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25.20</w:t>
            </w:r>
          </w:p>
        </w:tc>
        <w:tc>
          <w:tcPr>
            <w:tcW w:w="94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25109B">
        <w:trPr>
          <w:trHeight w:val="270"/>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r>
              <w:t>8/23/1751</w:t>
            </w: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Earthen ware to Mr. Blair</w:t>
            </w: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3.38</w:t>
            </w:r>
          </w:p>
        </w:tc>
        <w:tc>
          <w:tcPr>
            <w:tcW w:w="94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25109B">
        <w:trPr>
          <w:trHeight w:val="255"/>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r>
              <w:t>12/16/1752</w:t>
            </w: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ditto for ditto</w:t>
            </w: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0.15</w:t>
            </w:r>
          </w:p>
        </w:tc>
        <w:tc>
          <w:tcPr>
            <w:tcW w:w="94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25109B">
        <w:trPr>
          <w:trHeight w:val="510"/>
          <w:jc w:val="center"/>
        </w:trPr>
        <w:tc>
          <w:tcPr>
            <w:tcW w:w="1040" w:type="dxa"/>
            <w:tcBorders>
              <w:top w:val="nil"/>
              <w:left w:val="nil"/>
              <w:bottom w:val="nil"/>
              <w:right w:val="single" w:sz="4" w:space="0" w:color="auto"/>
            </w:tcBorders>
            <w:noWrap/>
            <w:vAlign w:val="bottom"/>
          </w:tcPr>
          <w:p w:rsidR="00B75F03" w:rsidRDefault="00B75F03" w:rsidP="00BE76E1">
            <w:pPr>
              <w:spacing w:after="0" w:line="240" w:lineRule="auto"/>
              <w:jc w:val="center"/>
            </w:pPr>
            <w:r>
              <w:t>10/7/1756</w:t>
            </w:r>
          </w:p>
        </w:tc>
        <w:tc>
          <w:tcPr>
            <w:tcW w:w="1884"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Earthen Ware of Jno. Harris for blair</w:t>
            </w:r>
          </w:p>
        </w:tc>
        <w:tc>
          <w:tcPr>
            <w:tcW w:w="78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2.15</w:t>
            </w:r>
          </w:p>
        </w:tc>
        <w:tc>
          <w:tcPr>
            <w:tcW w:w="94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16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814" w:type="dxa"/>
            <w:tcBorders>
              <w:top w:val="nil"/>
              <w:left w:val="single" w:sz="4" w:space="0" w:color="auto"/>
              <w:bottom w:val="nil"/>
            </w:tcBorders>
            <w:noWrap/>
            <w:vAlign w:val="bottom"/>
          </w:tcPr>
          <w:p w:rsidR="00B75F03" w:rsidRDefault="00B75F03" w:rsidP="00BE76E1">
            <w:pPr>
              <w:spacing w:after="0" w:line="240" w:lineRule="auto"/>
              <w:jc w:val="center"/>
            </w:pPr>
          </w:p>
        </w:tc>
      </w:tr>
    </w:tbl>
    <w:p w:rsidR="00B75F03" w:rsidRDefault="00B75F03" w:rsidP="006B3FA8">
      <w:pPr>
        <w:spacing w:after="0" w:line="480" w:lineRule="auto"/>
        <w:jc w:val="both"/>
      </w:pPr>
    </w:p>
    <w:p w:rsidR="00B75F03" w:rsidRDefault="00B75F03" w:rsidP="00BE76E1">
      <w:pPr>
        <w:pStyle w:val="BlockText"/>
        <w:spacing w:line="240" w:lineRule="auto"/>
        <w:ind w:left="1155"/>
        <w:jc w:val="both"/>
      </w:pPr>
      <w:r>
        <w:t>Source: Parker, Jonathan.  Account Book, 1747-1764.  Mss: 605 1747-1817.  Baker Library Historical Collections, Harvard Business School, Cambridge, Massachusetts, p. 12.</w:t>
      </w:r>
    </w:p>
    <w:p w:rsidR="00B75F03" w:rsidRDefault="00B75F03" w:rsidP="006B3FA8">
      <w:pPr>
        <w:spacing w:after="0" w:line="480" w:lineRule="auto"/>
        <w:jc w:val="both"/>
      </w:pPr>
    </w:p>
    <w:p w:rsidR="00A47F35" w:rsidRDefault="00A47F35" w:rsidP="006B3FA8">
      <w:pPr>
        <w:spacing w:after="0" w:line="480" w:lineRule="auto"/>
      </w:pPr>
      <w:r>
        <w:br w:type="page"/>
      </w:r>
    </w:p>
    <w:p w:rsidR="005E1345" w:rsidRDefault="006B6BB2" w:rsidP="006B3FA8">
      <w:pPr>
        <w:spacing w:after="0" w:line="480" w:lineRule="auto"/>
        <w:jc w:val="both"/>
        <w:rPr>
          <w:b/>
        </w:rPr>
      </w:pPr>
      <w:r w:rsidRPr="00A47F35">
        <w:rPr>
          <w:b/>
        </w:rPr>
        <w:lastRenderedPageBreak/>
        <w:t>F</w:t>
      </w:r>
      <w:r w:rsidR="00B75F03" w:rsidRPr="00A47F35">
        <w:rPr>
          <w:b/>
        </w:rPr>
        <w:t xml:space="preserve">igure 2.  </w:t>
      </w:r>
    </w:p>
    <w:p w:rsidR="00B75F03" w:rsidRPr="00A47F35" w:rsidRDefault="00B75F03" w:rsidP="006B3FA8">
      <w:pPr>
        <w:spacing w:after="0" w:line="480" w:lineRule="auto"/>
        <w:jc w:val="both"/>
        <w:rPr>
          <w:b/>
        </w:rPr>
      </w:pPr>
      <w:r w:rsidRPr="00A47F35">
        <w:rPr>
          <w:b/>
        </w:rPr>
        <w:t xml:space="preserve">Account of Richard Davins, </w:t>
      </w:r>
      <w:r w:rsidR="00353135" w:rsidRPr="00A47F35">
        <w:rPr>
          <w:b/>
        </w:rPr>
        <w:t>customer</w:t>
      </w:r>
      <w:r w:rsidRPr="00A47F35">
        <w:rPr>
          <w:b/>
        </w:rPr>
        <w:t>,</w:t>
      </w:r>
      <w:r w:rsidR="00A47F35">
        <w:rPr>
          <w:b/>
        </w:rPr>
        <w:t xml:space="preserve"> with Jonathan Parker, Merchant</w:t>
      </w:r>
    </w:p>
    <w:p w:rsidR="00A47F35" w:rsidRPr="006B6BB2" w:rsidRDefault="00A47F35" w:rsidP="006B3FA8">
      <w:pPr>
        <w:spacing w:after="0" w:line="480" w:lineRule="auto"/>
        <w:jc w:val="both"/>
        <w:rPr>
          <w:b/>
          <w:u w:val="single"/>
        </w:rPr>
      </w:pPr>
    </w:p>
    <w:tbl>
      <w:tblPr>
        <w:tblW w:w="7191" w:type="dxa"/>
        <w:jc w:val="center"/>
        <w:tblCellMar>
          <w:left w:w="0" w:type="dxa"/>
          <w:right w:w="0" w:type="dxa"/>
        </w:tblCellMar>
        <w:tblLook w:val="0000" w:firstRow="0" w:lastRow="0" w:firstColumn="0" w:lastColumn="0" w:noHBand="0" w:noVBand="0"/>
      </w:tblPr>
      <w:tblGrid>
        <w:gridCol w:w="1113"/>
        <w:gridCol w:w="2022"/>
        <w:gridCol w:w="880"/>
        <w:gridCol w:w="1115"/>
        <w:gridCol w:w="1287"/>
        <w:gridCol w:w="774"/>
      </w:tblGrid>
      <w:tr w:rsidR="00B75F03" w:rsidTr="006B6BB2">
        <w:trPr>
          <w:trHeight w:val="765"/>
          <w:jc w:val="center"/>
        </w:trPr>
        <w:tc>
          <w:tcPr>
            <w:tcW w:w="1105" w:type="dxa"/>
            <w:tcBorders>
              <w:top w:val="nil"/>
              <w:left w:val="nil"/>
              <w:bottom w:val="single" w:sz="4" w:space="0" w:color="auto"/>
              <w:right w:val="single" w:sz="4" w:space="0" w:color="auto"/>
            </w:tcBorders>
            <w:noWrap/>
            <w:vAlign w:val="bottom"/>
          </w:tcPr>
          <w:p w:rsidR="00B75F03" w:rsidRDefault="00B75F03" w:rsidP="00BE76E1">
            <w:pPr>
              <w:spacing w:after="0" w:line="240" w:lineRule="auto"/>
              <w:jc w:val="center"/>
              <w:rPr>
                <w:b/>
                <w:bCs/>
              </w:rPr>
            </w:pPr>
          </w:p>
        </w:tc>
        <w:tc>
          <w:tcPr>
            <w:tcW w:w="2039" w:type="dxa"/>
            <w:tcBorders>
              <w:top w:val="nil"/>
              <w:left w:val="single" w:sz="4" w:space="0" w:color="auto"/>
              <w:bottom w:val="single" w:sz="4" w:space="0" w:color="auto"/>
              <w:right w:val="single" w:sz="4" w:space="0" w:color="auto"/>
            </w:tcBorders>
            <w:vAlign w:val="bottom"/>
          </w:tcPr>
          <w:p w:rsidR="00B75F03" w:rsidRDefault="00B75F03" w:rsidP="00BE76E1">
            <w:pPr>
              <w:spacing w:after="0" w:line="240" w:lineRule="auto"/>
              <w:jc w:val="center"/>
              <w:rPr>
                <w:b/>
                <w:bCs/>
              </w:rPr>
            </w:pPr>
          </w:p>
        </w:tc>
        <w:tc>
          <w:tcPr>
            <w:tcW w:w="872"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Debit</w:t>
            </w:r>
          </w:p>
        </w:tc>
        <w:tc>
          <w:tcPr>
            <w:tcW w:w="1121" w:type="dxa"/>
            <w:tcBorders>
              <w:top w:val="nil"/>
              <w:left w:val="single" w:sz="4" w:space="0" w:color="auto"/>
              <w:bottom w:val="single" w:sz="4" w:space="0" w:color="auto"/>
              <w:right w:val="single" w:sz="4" w:space="0" w:color="auto"/>
            </w:tcBorders>
            <w:vAlign w:val="bottom"/>
          </w:tcPr>
          <w:p w:rsidR="00B75F03" w:rsidRDefault="00B75F03" w:rsidP="00BE76E1">
            <w:pPr>
              <w:spacing w:after="0" w:line="240" w:lineRule="auto"/>
              <w:jc w:val="center"/>
              <w:rPr>
                <w:b/>
                <w:bCs/>
              </w:rPr>
            </w:pPr>
          </w:p>
        </w:tc>
        <w:tc>
          <w:tcPr>
            <w:tcW w:w="1288" w:type="dxa"/>
            <w:tcBorders>
              <w:top w:val="nil"/>
              <w:left w:val="single" w:sz="4" w:space="0" w:color="auto"/>
              <w:bottom w:val="single" w:sz="4" w:space="0" w:color="auto"/>
              <w:right w:val="nil"/>
            </w:tcBorders>
            <w:vAlign w:val="bottom"/>
          </w:tcPr>
          <w:p w:rsidR="00B75F03" w:rsidRDefault="00B75F03" w:rsidP="00BE76E1">
            <w:pPr>
              <w:spacing w:after="0" w:line="240" w:lineRule="auto"/>
              <w:jc w:val="center"/>
              <w:rPr>
                <w:b/>
                <w:bCs/>
              </w:rPr>
            </w:pPr>
          </w:p>
        </w:tc>
        <w:tc>
          <w:tcPr>
            <w:tcW w:w="766"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Credit</w:t>
            </w:r>
          </w:p>
        </w:tc>
      </w:tr>
      <w:tr w:rsidR="00B75F03" w:rsidTr="006B6BB2">
        <w:trPr>
          <w:trHeight w:val="765"/>
          <w:jc w:val="center"/>
        </w:trPr>
        <w:tc>
          <w:tcPr>
            <w:tcW w:w="1105" w:type="dxa"/>
            <w:tcBorders>
              <w:top w:val="nil"/>
              <w:left w:val="nil"/>
              <w:bottom w:val="single" w:sz="4" w:space="0" w:color="auto"/>
              <w:right w:val="single" w:sz="4" w:space="0" w:color="auto"/>
            </w:tcBorders>
            <w:noWrap/>
            <w:vAlign w:val="bottom"/>
          </w:tcPr>
          <w:p w:rsidR="00B75F03" w:rsidRDefault="00B75F03" w:rsidP="00BE76E1">
            <w:pPr>
              <w:spacing w:after="0" w:line="240" w:lineRule="auto"/>
              <w:jc w:val="center"/>
              <w:rPr>
                <w:b/>
                <w:bCs/>
              </w:rPr>
            </w:pPr>
            <w:r>
              <w:rPr>
                <w:b/>
                <w:bCs/>
              </w:rPr>
              <w:t>Date</w:t>
            </w:r>
          </w:p>
        </w:tc>
        <w:tc>
          <w:tcPr>
            <w:tcW w:w="2039" w:type="dxa"/>
            <w:tcBorders>
              <w:top w:val="nil"/>
              <w:left w:val="single" w:sz="4" w:space="0" w:color="auto"/>
              <w:bottom w:val="single" w:sz="4" w:space="0" w:color="auto"/>
              <w:right w:val="single" w:sz="4" w:space="0" w:color="auto"/>
            </w:tcBorders>
            <w:vAlign w:val="bottom"/>
          </w:tcPr>
          <w:p w:rsidR="00B75F03" w:rsidRDefault="00B75F03" w:rsidP="00BE76E1">
            <w:pPr>
              <w:spacing w:after="0" w:line="240" w:lineRule="auto"/>
              <w:jc w:val="center"/>
              <w:rPr>
                <w:b/>
                <w:bCs/>
              </w:rPr>
            </w:pPr>
            <w:r>
              <w:rPr>
                <w:b/>
                <w:bCs/>
              </w:rPr>
              <w:t>Transaction</w:t>
            </w:r>
          </w:p>
        </w:tc>
        <w:tc>
          <w:tcPr>
            <w:tcW w:w="872"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Pounds</w:t>
            </w:r>
          </w:p>
        </w:tc>
        <w:tc>
          <w:tcPr>
            <w:tcW w:w="1121" w:type="dxa"/>
            <w:tcBorders>
              <w:top w:val="nil"/>
              <w:left w:val="single" w:sz="4" w:space="0" w:color="auto"/>
              <w:bottom w:val="single" w:sz="4" w:space="0" w:color="auto"/>
              <w:right w:val="single" w:sz="4" w:space="0" w:color="auto"/>
            </w:tcBorders>
            <w:vAlign w:val="bottom"/>
          </w:tcPr>
          <w:p w:rsidR="00B75F03" w:rsidRDefault="00B75F03" w:rsidP="00BE76E1">
            <w:pPr>
              <w:spacing w:after="0" w:line="240" w:lineRule="auto"/>
              <w:jc w:val="center"/>
              <w:rPr>
                <w:b/>
                <w:bCs/>
              </w:rPr>
            </w:pPr>
            <w:r>
              <w:rPr>
                <w:b/>
                <w:bCs/>
              </w:rPr>
              <w:t>Date</w:t>
            </w:r>
          </w:p>
        </w:tc>
        <w:tc>
          <w:tcPr>
            <w:tcW w:w="1288" w:type="dxa"/>
            <w:tcBorders>
              <w:top w:val="nil"/>
              <w:left w:val="single" w:sz="4" w:space="0" w:color="auto"/>
              <w:bottom w:val="single" w:sz="4" w:space="0" w:color="auto"/>
              <w:right w:val="nil"/>
            </w:tcBorders>
            <w:vAlign w:val="bottom"/>
          </w:tcPr>
          <w:p w:rsidR="00B75F03" w:rsidRDefault="00B75F03" w:rsidP="00BE76E1">
            <w:pPr>
              <w:spacing w:after="0" w:line="240" w:lineRule="auto"/>
              <w:jc w:val="center"/>
              <w:rPr>
                <w:b/>
                <w:bCs/>
              </w:rPr>
            </w:pPr>
            <w:r>
              <w:rPr>
                <w:b/>
                <w:bCs/>
              </w:rPr>
              <w:t>Transaction</w:t>
            </w:r>
          </w:p>
        </w:tc>
        <w:tc>
          <w:tcPr>
            <w:tcW w:w="766" w:type="dxa"/>
            <w:tcBorders>
              <w:top w:val="nil"/>
              <w:left w:val="single" w:sz="4" w:space="0" w:color="auto"/>
              <w:bottom w:val="single" w:sz="4" w:space="0" w:color="auto"/>
              <w:right w:val="nil"/>
            </w:tcBorders>
            <w:noWrap/>
            <w:vAlign w:val="bottom"/>
          </w:tcPr>
          <w:p w:rsidR="00B75F03" w:rsidRDefault="00B75F03" w:rsidP="00BE76E1">
            <w:pPr>
              <w:spacing w:after="0" w:line="240" w:lineRule="auto"/>
              <w:jc w:val="center"/>
              <w:rPr>
                <w:b/>
                <w:bCs/>
              </w:rPr>
            </w:pPr>
            <w:r>
              <w:rPr>
                <w:b/>
                <w:bCs/>
              </w:rPr>
              <w:t>Pounds</w:t>
            </w:r>
          </w:p>
        </w:tc>
      </w:tr>
      <w:tr w:rsidR="00B75F03" w:rsidTr="006B6BB2">
        <w:trPr>
          <w:trHeight w:val="510"/>
          <w:jc w:val="center"/>
        </w:trPr>
        <w:tc>
          <w:tcPr>
            <w:tcW w:w="1105" w:type="dxa"/>
            <w:tcBorders>
              <w:top w:val="single" w:sz="4" w:space="0" w:color="auto"/>
              <w:left w:val="nil"/>
              <w:bottom w:val="nil"/>
              <w:right w:val="single" w:sz="4" w:space="0" w:color="auto"/>
            </w:tcBorders>
            <w:noWrap/>
            <w:vAlign w:val="bottom"/>
          </w:tcPr>
          <w:p w:rsidR="00B75F03" w:rsidRDefault="00B75F03" w:rsidP="00BE76E1">
            <w:pPr>
              <w:spacing w:after="0" w:line="240" w:lineRule="auto"/>
              <w:jc w:val="center"/>
            </w:pPr>
            <w:r>
              <w:t>7/18/1751</w:t>
            </w:r>
          </w:p>
        </w:tc>
        <w:tc>
          <w:tcPr>
            <w:tcW w:w="2039" w:type="dxa"/>
            <w:tcBorders>
              <w:top w:val="single" w:sz="4" w:space="0" w:color="auto"/>
              <w:left w:val="single" w:sz="4" w:space="0" w:color="auto"/>
              <w:bottom w:val="nil"/>
              <w:right w:val="single" w:sz="4" w:space="0" w:color="auto"/>
            </w:tcBorders>
            <w:vAlign w:val="bottom"/>
          </w:tcPr>
          <w:p w:rsidR="00B75F03" w:rsidRDefault="00B75F03" w:rsidP="00BE76E1">
            <w:pPr>
              <w:spacing w:after="0" w:line="240" w:lineRule="auto"/>
              <w:jc w:val="center"/>
            </w:pPr>
            <w:r>
              <w:t>to one thousand staves @4-0-0</w:t>
            </w:r>
          </w:p>
        </w:tc>
        <w:tc>
          <w:tcPr>
            <w:tcW w:w="872" w:type="dxa"/>
            <w:tcBorders>
              <w:top w:val="single" w:sz="4" w:space="0" w:color="auto"/>
              <w:left w:val="single" w:sz="4" w:space="0" w:color="auto"/>
              <w:bottom w:val="nil"/>
              <w:right w:val="single" w:sz="4" w:space="0" w:color="auto"/>
            </w:tcBorders>
            <w:noWrap/>
            <w:vAlign w:val="bottom"/>
          </w:tcPr>
          <w:p w:rsidR="00B75F03" w:rsidRDefault="00B75F03" w:rsidP="00BE76E1">
            <w:pPr>
              <w:spacing w:after="0" w:line="240" w:lineRule="auto"/>
              <w:jc w:val="center"/>
            </w:pPr>
            <w:r>
              <w:t>4.00</w:t>
            </w:r>
          </w:p>
        </w:tc>
        <w:tc>
          <w:tcPr>
            <w:tcW w:w="1121" w:type="dxa"/>
            <w:tcBorders>
              <w:top w:val="single" w:sz="4" w:space="0" w:color="auto"/>
              <w:left w:val="single" w:sz="4" w:space="0" w:color="auto"/>
              <w:bottom w:val="nil"/>
              <w:right w:val="single" w:sz="4" w:space="0" w:color="auto"/>
            </w:tcBorders>
          </w:tcPr>
          <w:p w:rsidR="00B75F03" w:rsidRDefault="00B75F03" w:rsidP="00BE76E1">
            <w:pPr>
              <w:spacing w:after="0" w:line="240" w:lineRule="auto"/>
              <w:jc w:val="center"/>
            </w:pPr>
          </w:p>
        </w:tc>
        <w:tc>
          <w:tcPr>
            <w:tcW w:w="1288" w:type="dxa"/>
            <w:tcBorders>
              <w:top w:val="single" w:sz="4" w:space="0" w:color="auto"/>
              <w:left w:val="single" w:sz="4" w:space="0" w:color="auto"/>
              <w:bottom w:val="nil"/>
              <w:right w:val="single" w:sz="4" w:space="0" w:color="auto"/>
            </w:tcBorders>
          </w:tcPr>
          <w:p w:rsidR="00B75F03" w:rsidRDefault="00B75F03" w:rsidP="00BE76E1">
            <w:pPr>
              <w:spacing w:after="0" w:line="240" w:lineRule="auto"/>
              <w:jc w:val="center"/>
            </w:pPr>
          </w:p>
        </w:tc>
        <w:tc>
          <w:tcPr>
            <w:tcW w:w="766" w:type="dxa"/>
            <w:tcBorders>
              <w:top w:val="single" w:sz="4" w:space="0" w:color="auto"/>
              <w:left w:val="single" w:sz="4" w:space="0" w:color="auto"/>
              <w:bottom w:val="nil"/>
            </w:tcBorders>
            <w:noWrap/>
            <w:vAlign w:val="bottom"/>
          </w:tcPr>
          <w:p w:rsidR="00B75F03" w:rsidRDefault="00B75F03" w:rsidP="00BE76E1">
            <w:pPr>
              <w:spacing w:after="0" w:line="240" w:lineRule="auto"/>
              <w:jc w:val="center"/>
            </w:pPr>
          </w:p>
        </w:tc>
      </w:tr>
      <w:tr w:rsidR="00B75F03" w:rsidTr="006B6BB2">
        <w:trPr>
          <w:trHeight w:val="255"/>
          <w:jc w:val="center"/>
        </w:trPr>
        <w:tc>
          <w:tcPr>
            <w:tcW w:w="1105" w:type="dxa"/>
            <w:tcBorders>
              <w:top w:val="nil"/>
              <w:left w:val="nil"/>
              <w:bottom w:val="nil"/>
              <w:right w:val="single" w:sz="4" w:space="0" w:color="auto"/>
            </w:tcBorders>
            <w:noWrap/>
            <w:vAlign w:val="bottom"/>
          </w:tcPr>
          <w:p w:rsidR="00B75F03" w:rsidRDefault="00B75F03" w:rsidP="00BE76E1">
            <w:pPr>
              <w:spacing w:after="0" w:line="240" w:lineRule="auto"/>
              <w:jc w:val="center"/>
            </w:pPr>
          </w:p>
        </w:tc>
        <w:tc>
          <w:tcPr>
            <w:tcW w:w="2039"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p>
        </w:tc>
        <w:tc>
          <w:tcPr>
            <w:tcW w:w="87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p>
        </w:tc>
        <w:tc>
          <w:tcPr>
            <w:tcW w:w="1121"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8/6/1751</w:t>
            </w:r>
          </w:p>
        </w:tc>
        <w:tc>
          <w:tcPr>
            <w:tcW w:w="1288"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by chocolate to Standly</w:t>
            </w:r>
          </w:p>
        </w:tc>
        <w:tc>
          <w:tcPr>
            <w:tcW w:w="766" w:type="dxa"/>
            <w:tcBorders>
              <w:top w:val="nil"/>
              <w:left w:val="single" w:sz="4" w:space="0" w:color="auto"/>
              <w:bottom w:val="nil"/>
            </w:tcBorders>
            <w:noWrap/>
            <w:vAlign w:val="bottom"/>
          </w:tcPr>
          <w:p w:rsidR="00B75F03" w:rsidRDefault="00B75F03" w:rsidP="00BE76E1">
            <w:pPr>
              <w:spacing w:after="0" w:line="240" w:lineRule="auto"/>
              <w:jc w:val="center"/>
            </w:pPr>
            <w:r>
              <w:t>0.24</w:t>
            </w:r>
          </w:p>
        </w:tc>
      </w:tr>
      <w:tr w:rsidR="00B75F03" w:rsidTr="006B6BB2">
        <w:trPr>
          <w:trHeight w:val="510"/>
          <w:jc w:val="center"/>
        </w:trPr>
        <w:tc>
          <w:tcPr>
            <w:tcW w:w="1105" w:type="dxa"/>
            <w:tcBorders>
              <w:top w:val="nil"/>
              <w:left w:val="nil"/>
              <w:bottom w:val="nil"/>
              <w:right w:val="single" w:sz="4" w:space="0" w:color="auto"/>
            </w:tcBorders>
            <w:noWrap/>
            <w:vAlign w:val="bottom"/>
          </w:tcPr>
          <w:p w:rsidR="00B75F03" w:rsidRDefault="00B75F03" w:rsidP="00BE76E1">
            <w:pPr>
              <w:spacing w:after="0" w:line="240" w:lineRule="auto"/>
              <w:jc w:val="center"/>
            </w:pPr>
            <w:r>
              <w:t>11/1752</w:t>
            </w:r>
          </w:p>
        </w:tc>
        <w:tc>
          <w:tcPr>
            <w:tcW w:w="2039"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cash of your brother Charles</w:t>
            </w:r>
          </w:p>
        </w:tc>
        <w:tc>
          <w:tcPr>
            <w:tcW w:w="87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0.40</w:t>
            </w:r>
          </w:p>
        </w:tc>
        <w:tc>
          <w:tcPr>
            <w:tcW w:w="112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28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766"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6B6BB2">
        <w:trPr>
          <w:trHeight w:val="765"/>
          <w:jc w:val="center"/>
        </w:trPr>
        <w:tc>
          <w:tcPr>
            <w:tcW w:w="1105" w:type="dxa"/>
            <w:tcBorders>
              <w:top w:val="nil"/>
              <w:left w:val="nil"/>
              <w:bottom w:val="nil"/>
              <w:right w:val="single" w:sz="4" w:space="0" w:color="auto"/>
            </w:tcBorders>
            <w:noWrap/>
            <w:vAlign w:val="bottom"/>
          </w:tcPr>
          <w:p w:rsidR="00B75F03" w:rsidRDefault="00B75F03" w:rsidP="00BE76E1">
            <w:pPr>
              <w:spacing w:after="0" w:line="240" w:lineRule="auto"/>
              <w:jc w:val="center"/>
            </w:pPr>
            <w:r>
              <w:t>12/1752</w:t>
            </w:r>
          </w:p>
        </w:tc>
        <w:tc>
          <w:tcPr>
            <w:tcW w:w="2039"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to order drawn on me for Earthen Ware for Mr. Austin</w:t>
            </w:r>
          </w:p>
        </w:tc>
        <w:tc>
          <w:tcPr>
            <w:tcW w:w="87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r>
              <w:t>0.67</w:t>
            </w:r>
          </w:p>
        </w:tc>
        <w:tc>
          <w:tcPr>
            <w:tcW w:w="1121"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1288" w:type="dxa"/>
            <w:tcBorders>
              <w:top w:val="nil"/>
              <w:left w:val="single" w:sz="4" w:space="0" w:color="auto"/>
              <w:bottom w:val="nil"/>
              <w:right w:val="single" w:sz="4" w:space="0" w:color="auto"/>
            </w:tcBorders>
          </w:tcPr>
          <w:p w:rsidR="00B75F03" w:rsidRDefault="00B75F03" w:rsidP="00BE76E1">
            <w:pPr>
              <w:spacing w:after="0" w:line="240" w:lineRule="auto"/>
              <w:jc w:val="center"/>
            </w:pPr>
          </w:p>
        </w:tc>
        <w:tc>
          <w:tcPr>
            <w:tcW w:w="766" w:type="dxa"/>
            <w:tcBorders>
              <w:top w:val="nil"/>
              <w:left w:val="single" w:sz="4" w:space="0" w:color="auto"/>
              <w:bottom w:val="nil"/>
            </w:tcBorders>
            <w:noWrap/>
            <w:vAlign w:val="bottom"/>
          </w:tcPr>
          <w:p w:rsidR="00B75F03" w:rsidRDefault="00B75F03" w:rsidP="00BE76E1">
            <w:pPr>
              <w:spacing w:after="0" w:line="240" w:lineRule="auto"/>
              <w:jc w:val="center"/>
            </w:pPr>
          </w:p>
        </w:tc>
      </w:tr>
      <w:tr w:rsidR="00B75F03" w:rsidTr="006B6BB2">
        <w:trPr>
          <w:trHeight w:val="270"/>
          <w:jc w:val="center"/>
        </w:trPr>
        <w:tc>
          <w:tcPr>
            <w:tcW w:w="1105" w:type="dxa"/>
            <w:tcBorders>
              <w:top w:val="nil"/>
              <w:left w:val="nil"/>
              <w:bottom w:val="nil"/>
              <w:right w:val="single" w:sz="4" w:space="0" w:color="auto"/>
            </w:tcBorders>
            <w:noWrap/>
            <w:vAlign w:val="bottom"/>
          </w:tcPr>
          <w:p w:rsidR="00B75F03" w:rsidRDefault="00B75F03" w:rsidP="00BE76E1">
            <w:pPr>
              <w:spacing w:after="0" w:line="240" w:lineRule="auto"/>
              <w:jc w:val="center"/>
            </w:pPr>
          </w:p>
        </w:tc>
        <w:tc>
          <w:tcPr>
            <w:tcW w:w="2039"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p>
        </w:tc>
        <w:tc>
          <w:tcPr>
            <w:tcW w:w="87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p>
        </w:tc>
        <w:tc>
          <w:tcPr>
            <w:tcW w:w="1121"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No Date</w:t>
            </w:r>
          </w:p>
        </w:tc>
        <w:tc>
          <w:tcPr>
            <w:tcW w:w="1288"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by discount with Mr. Harris</w:t>
            </w:r>
          </w:p>
        </w:tc>
        <w:tc>
          <w:tcPr>
            <w:tcW w:w="766" w:type="dxa"/>
            <w:tcBorders>
              <w:top w:val="nil"/>
              <w:left w:val="single" w:sz="4" w:space="0" w:color="auto"/>
              <w:bottom w:val="nil"/>
            </w:tcBorders>
            <w:noWrap/>
            <w:vAlign w:val="bottom"/>
          </w:tcPr>
          <w:p w:rsidR="00B75F03" w:rsidRDefault="00B75F03" w:rsidP="00BE76E1">
            <w:pPr>
              <w:spacing w:after="0" w:line="240" w:lineRule="auto"/>
              <w:jc w:val="center"/>
            </w:pPr>
            <w:r>
              <w:t>4.00</w:t>
            </w:r>
          </w:p>
        </w:tc>
      </w:tr>
      <w:tr w:rsidR="00B75F03" w:rsidTr="006B6BB2">
        <w:trPr>
          <w:trHeight w:val="255"/>
          <w:jc w:val="center"/>
        </w:trPr>
        <w:tc>
          <w:tcPr>
            <w:tcW w:w="1105" w:type="dxa"/>
            <w:tcBorders>
              <w:top w:val="nil"/>
              <w:left w:val="nil"/>
              <w:bottom w:val="nil"/>
              <w:right w:val="single" w:sz="4" w:space="0" w:color="auto"/>
            </w:tcBorders>
            <w:noWrap/>
            <w:vAlign w:val="bottom"/>
          </w:tcPr>
          <w:p w:rsidR="00B75F03" w:rsidRDefault="00B75F03" w:rsidP="00BE76E1">
            <w:pPr>
              <w:spacing w:after="0" w:line="240" w:lineRule="auto"/>
              <w:jc w:val="center"/>
            </w:pPr>
          </w:p>
        </w:tc>
        <w:tc>
          <w:tcPr>
            <w:tcW w:w="2039"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p>
        </w:tc>
        <w:tc>
          <w:tcPr>
            <w:tcW w:w="872" w:type="dxa"/>
            <w:tcBorders>
              <w:top w:val="nil"/>
              <w:left w:val="single" w:sz="4" w:space="0" w:color="auto"/>
              <w:bottom w:val="nil"/>
              <w:right w:val="single" w:sz="4" w:space="0" w:color="auto"/>
            </w:tcBorders>
            <w:noWrap/>
            <w:vAlign w:val="bottom"/>
          </w:tcPr>
          <w:p w:rsidR="00B75F03" w:rsidRDefault="00B75F03" w:rsidP="00BE76E1">
            <w:pPr>
              <w:spacing w:after="0" w:line="240" w:lineRule="auto"/>
              <w:jc w:val="center"/>
            </w:pPr>
          </w:p>
        </w:tc>
        <w:tc>
          <w:tcPr>
            <w:tcW w:w="1121"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No Date</w:t>
            </w:r>
          </w:p>
        </w:tc>
        <w:tc>
          <w:tcPr>
            <w:tcW w:w="1288" w:type="dxa"/>
            <w:tcBorders>
              <w:top w:val="nil"/>
              <w:left w:val="single" w:sz="4" w:space="0" w:color="auto"/>
              <w:bottom w:val="nil"/>
              <w:right w:val="single" w:sz="4" w:space="0" w:color="auto"/>
            </w:tcBorders>
            <w:vAlign w:val="bottom"/>
          </w:tcPr>
          <w:p w:rsidR="00B75F03" w:rsidRDefault="00B75F03" w:rsidP="00BE76E1">
            <w:pPr>
              <w:spacing w:after="0" w:line="240" w:lineRule="auto"/>
              <w:jc w:val="center"/>
            </w:pPr>
            <w:r>
              <w:t>by your note given in</w:t>
            </w:r>
          </w:p>
        </w:tc>
        <w:tc>
          <w:tcPr>
            <w:tcW w:w="766" w:type="dxa"/>
            <w:tcBorders>
              <w:top w:val="nil"/>
              <w:left w:val="single" w:sz="4" w:space="0" w:color="auto"/>
              <w:bottom w:val="nil"/>
            </w:tcBorders>
            <w:noWrap/>
            <w:vAlign w:val="bottom"/>
          </w:tcPr>
          <w:p w:rsidR="00B75F03" w:rsidRDefault="00B75F03" w:rsidP="00BE76E1">
            <w:pPr>
              <w:spacing w:after="0" w:line="240" w:lineRule="auto"/>
              <w:jc w:val="center"/>
            </w:pPr>
            <w:r>
              <w:t>1.89</w:t>
            </w:r>
          </w:p>
        </w:tc>
      </w:tr>
    </w:tbl>
    <w:p w:rsidR="00B75F03" w:rsidRDefault="00B75F03" w:rsidP="006B3FA8">
      <w:pPr>
        <w:spacing w:after="0" w:line="480" w:lineRule="auto"/>
        <w:ind w:left="825" w:right="855"/>
        <w:jc w:val="both"/>
      </w:pPr>
    </w:p>
    <w:p w:rsidR="00B75F03" w:rsidRDefault="00B75F03" w:rsidP="00BE76E1">
      <w:pPr>
        <w:spacing w:after="0" w:line="240" w:lineRule="auto"/>
        <w:ind w:left="825" w:right="855"/>
        <w:jc w:val="both"/>
      </w:pPr>
      <w:r>
        <w:t>Source: Parker, Jonathan.  Account Book, 1747-1764.  Mss: 605 1747-1817.  Baker Library Historical Collections, Harvard Business School, Cambridge, Massachusetts, p. 19.</w:t>
      </w:r>
    </w:p>
    <w:p w:rsidR="00B75F03" w:rsidRDefault="00B75F03" w:rsidP="006B3FA8">
      <w:pPr>
        <w:spacing w:after="0" w:line="480" w:lineRule="auto"/>
        <w:jc w:val="both"/>
      </w:pPr>
    </w:p>
    <w:p w:rsidR="00B75F03" w:rsidRDefault="00B75F03" w:rsidP="006B3FA8">
      <w:pPr>
        <w:spacing w:after="0" w:line="480" w:lineRule="auto"/>
        <w:jc w:val="both"/>
      </w:pPr>
    </w:p>
    <w:p w:rsidR="00B75F03" w:rsidRDefault="00B75F03" w:rsidP="006B3FA8">
      <w:pPr>
        <w:spacing w:after="0" w:line="480" w:lineRule="auto"/>
        <w:jc w:val="both"/>
      </w:pPr>
    </w:p>
    <w:p w:rsidR="00B75F03" w:rsidRDefault="00B75F03" w:rsidP="006B3FA8">
      <w:pPr>
        <w:spacing w:after="0" w:line="480" w:lineRule="auto"/>
        <w:jc w:val="both"/>
        <w:rPr>
          <w:u w:val="single"/>
        </w:rPr>
        <w:sectPr w:rsidR="00B75F03" w:rsidSect="00F22824">
          <w:footerReference w:type="even" r:id="rId8"/>
          <w:footerReference w:type="default" r:id="rId9"/>
          <w:footerReference w:type="first" r:id="rId10"/>
          <w:endnotePr>
            <w:numFmt w:val="decimal"/>
          </w:endnotePr>
          <w:pgSz w:w="12240" w:h="15840" w:code="1"/>
          <w:pgMar w:top="1440" w:right="1440" w:bottom="1440" w:left="1440" w:header="720" w:footer="1440" w:gutter="0"/>
          <w:cols w:space="720"/>
          <w:docGrid w:linePitch="224"/>
        </w:sectPr>
      </w:pPr>
    </w:p>
    <w:p w:rsidR="00BE76E1" w:rsidRDefault="00B75F03" w:rsidP="006B3FA8">
      <w:pPr>
        <w:spacing w:after="0" w:line="480" w:lineRule="auto"/>
        <w:jc w:val="both"/>
        <w:rPr>
          <w:b/>
        </w:rPr>
      </w:pPr>
      <w:r w:rsidRPr="00720E7F">
        <w:rPr>
          <w:b/>
        </w:rPr>
        <w:lastRenderedPageBreak/>
        <w:t>Figure</w:t>
      </w:r>
      <w:r w:rsidR="00720E7F">
        <w:rPr>
          <w:b/>
        </w:rPr>
        <w:t xml:space="preserve"> </w:t>
      </w:r>
      <w:r w:rsidR="003602D5">
        <w:rPr>
          <w:b/>
        </w:rPr>
        <w:t>3</w:t>
      </w:r>
      <w:r w:rsidRPr="00720E7F">
        <w:rPr>
          <w:b/>
        </w:rPr>
        <w:t xml:space="preserve">. </w:t>
      </w:r>
    </w:p>
    <w:p w:rsidR="00B75F03" w:rsidRPr="00720E7F" w:rsidRDefault="00B75F03" w:rsidP="006B3FA8">
      <w:pPr>
        <w:spacing w:after="0" w:line="480" w:lineRule="auto"/>
        <w:jc w:val="both"/>
        <w:rPr>
          <w:b/>
        </w:rPr>
      </w:pPr>
      <w:r w:rsidRPr="00720E7F">
        <w:rPr>
          <w:b/>
        </w:rPr>
        <w:t xml:space="preserve">Account of Catherine Coss, </w:t>
      </w:r>
      <w:r w:rsidR="00353135" w:rsidRPr="00720E7F">
        <w:rPr>
          <w:b/>
        </w:rPr>
        <w:t>customer</w:t>
      </w:r>
      <w:r w:rsidRPr="00720E7F">
        <w:rPr>
          <w:b/>
        </w:rPr>
        <w:t>, with Isaac Hunt</w:t>
      </w:r>
      <w:r w:rsidR="00BE76E1">
        <w:rPr>
          <w:b/>
        </w:rPr>
        <w:t>ington, Merchant of Connecticut</w:t>
      </w:r>
    </w:p>
    <w:tbl>
      <w:tblPr>
        <w:tblW w:w="9360" w:type="dxa"/>
        <w:jc w:val="center"/>
        <w:tblCellMar>
          <w:left w:w="0" w:type="dxa"/>
          <w:right w:w="0" w:type="dxa"/>
        </w:tblCellMar>
        <w:tblLook w:val="0000" w:firstRow="0" w:lastRow="0" w:firstColumn="0" w:lastColumn="0" w:noHBand="0" w:noVBand="0"/>
      </w:tblPr>
      <w:tblGrid>
        <w:gridCol w:w="2022"/>
        <w:gridCol w:w="2073"/>
        <w:gridCol w:w="1882"/>
        <w:gridCol w:w="1145"/>
        <w:gridCol w:w="1119"/>
        <w:gridCol w:w="1119"/>
      </w:tblGrid>
      <w:tr w:rsidR="00901D69" w:rsidTr="00901D69">
        <w:trPr>
          <w:trHeight w:val="510"/>
          <w:jc w:val="center"/>
        </w:trPr>
        <w:tc>
          <w:tcPr>
            <w:tcW w:w="2022" w:type="dxa"/>
            <w:tcBorders>
              <w:top w:val="nil"/>
              <w:left w:val="nil"/>
              <w:bottom w:val="single" w:sz="4" w:space="0" w:color="auto"/>
              <w:right w:val="single" w:sz="4" w:space="0" w:color="auto"/>
            </w:tcBorders>
          </w:tcPr>
          <w:p w:rsidR="00901D69" w:rsidRDefault="00901D69" w:rsidP="00BE76E1">
            <w:pPr>
              <w:spacing w:after="0" w:line="240" w:lineRule="auto"/>
              <w:jc w:val="center"/>
              <w:rPr>
                <w:b/>
                <w:bCs/>
              </w:rPr>
            </w:pPr>
            <w:r>
              <w:rPr>
                <w:b/>
                <w:bCs/>
              </w:rPr>
              <w:t xml:space="preserve">Sale </w:t>
            </w:r>
          </w:p>
          <w:p w:rsidR="00901D69" w:rsidRDefault="00901D69" w:rsidP="00BE76E1">
            <w:pPr>
              <w:spacing w:after="0" w:line="240" w:lineRule="auto"/>
              <w:jc w:val="center"/>
              <w:rPr>
                <w:b/>
                <w:bCs/>
              </w:rPr>
            </w:pPr>
            <w:r>
              <w:rPr>
                <w:b/>
                <w:bCs/>
              </w:rPr>
              <w:t xml:space="preserve">or </w:t>
            </w:r>
          </w:p>
          <w:p w:rsidR="00901D69" w:rsidRDefault="00901D69" w:rsidP="00BE76E1">
            <w:pPr>
              <w:spacing w:after="0" w:line="240" w:lineRule="auto"/>
              <w:jc w:val="center"/>
              <w:rPr>
                <w:b/>
                <w:bCs/>
              </w:rPr>
            </w:pPr>
            <w:r>
              <w:rPr>
                <w:b/>
                <w:bCs/>
              </w:rPr>
              <w:t>Repayment</w:t>
            </w:r>
          </w:p>
        </w:tc>
        <w:tc>
          <w:tcPr>
            <w:tcW w:w="2073" w:type="dxa"/>
            <w:tcBorders>
              <w:top w:val="nil"/>
              <w:left w:val="nil"/>
              <w:bottom w:val="single" w:sz="4" w:space="0" w:color="auto"/>
              <w:right w:val="single" w:sz="4" w:space="0" w:color="auto"/>
            </w:tcBorders>
            <w:vAlign w:val="bottom"/>
          </w:tcPr>
          <w:p w:rsidR="00901D69" w:rsidRDefault="00901D69" w:rsidP="00BE76E1">
            <w:pPr>
              <w:spacing w:after="0" w:line="240" w:lineRule="auto"/>
              <w:jc w:val="center"/>
              <w:rPr>
                <w:b/>
                <w:bCs/>
              </w:rPr>
            </w:pPr>
            <w:r>
              <w:rPr>
                <w:b/>
                <w:bCs/>
              </w:rPr>
              <w:t>Date</w:t>
            </w:r>
          </w:p>
        </w:tc>
        <w:tc>
          <w:tcPr>
            <w:tcW w:w="1882" w:type="dxa"/>
            <w:tcBorders>
              <w:top w:val="nil"/>
              <w:left w:val="single" w:sz="4" w:space="0" w:color="auto"/>
              <w:bottom w:val="single" w:sz="4" w:space="0" w:color="auto"/>
              <w:right w:val="single" w:sz="4" w:space="0" w:color="auto"/>
            </w:tcBorders>
            <w:vAlign w:val="bottom"/>
          </w:tcPr>
          <w:p w:rsidR="00901D69" w:rsidRDefault="00901D69" w:rsidP="00BE76E1">
            <w:pPr>
              <w:spacing w:after="0" w:line="240" w:lineRule="auto"/>
              <w:jc w:val="center"/>
              <w:rPr>
                <w:b/>
                <w:bCs/>
              </w:rPr>
            </w:pPr>
            <w:r>
              <w:rPr>
                <w:b/>
                <w:bCs/>
              </w:rPr>
              <w:t>Transaction</w:t>
            </w:r>
          </w:p>
        </w:tc>
        <w:tc>
          <w:tcPr>
            <w:tcW w:w="1145" w:type="dxa"/>
            <w:tcBorders>
              <w:top w:val="nil"/>
              <w:left w:val="single" w:sz="4" w:space="0" w:color="auto"/>
              <w:bottom w:val="single" w:sz="4" w:space="0" w:color="auto"/>
              <w:right w:val="single" w:sz="4" w:space="0" w:color="auto"/>
            </w:tcBorders>
            <w:vAlign w:val="bottom"/>
          </w:tcPr>
          <w:p w:rsidR="00901D69" w:rsidRDefault="00901D69" w:rsidP="00BE76E1">
            <w:pPr>
              <w:spacing w:after="0" w:line="240" w:lineRule="auto"/>
              <w:jc w:val="center"/>
              <w:rPr>
                <w:b/>
                <w:bCs/>
              </w:rPr>
            </w:pPr>
            <w:r>
              <w:rPr>
                <w:b/>
                <w:bCs/>
              </w:rPr>
              <w:t>Total, decimal. £</w:t>
            </w:r>
          </w:p>
        </w:tc>
        <w:tc>
          <w:tcPr>
            <w:tcW w:w="1119" w:type="dxa"/>
            <w:tcBorders>
              <w:top w:val="nil"/>
              <w:left w:val="single" w:sz="4" w:space="0" w:color="auto"/>
              <w:bottom w:val="single" w:sz="4" w:space="0" w:color="auto"/>
              <w:right w:val="single" w:sz="4" w:space="0" w:color="auto"/>
            </w:tcBorders>
            <w:vAlign w:val="bottom"/>
          </w:tcPr>
          <w:p w:rsidR="00901D69" w:rsidRDefault="00901D69" w:rsidP="00BE76E1">
            <w:pPr>
              <w:spacing w:after="0" w:line="240" w:lineRule="auto"/>
              <w:jc w:val="center"/>
              <w:rPr>
                <w:b/>
                <w:bCs/>
              </w:rPr>
            </w:pPr>
            <w:r>
              <w:rPr>
                <w:b/>
                <w:bCs/>
              </w:rPr>
              <w:t>£ Lawful Money</w:t>
            </w:r>
          </w:p>
        </w:tc>
        <w:tc>
          <w:tcPr>
            <w:tcW w:w="1119" w:type="dxa"/>
            <w:tcBorders>
              <w:top w:val="nil"/>
              <w:left w:val="single" w:sz="4" w:space="0" w:color="auto"/>
              <w:bottom w:val="single" w:sz="4" w:space="0" w:color="auto"/>
              <w:right w:val="nil"/>
            </w:tcBorders>
            <w:vAlign w:val="bottom"/>
          </w:tcPr>
          <w:p w:rsidR="00901D69" w:rsidRDefault="00901D69" w:rsidP="00901D69">
            <w:pPr>
              <w:spacing w:after="0" w:line="240" w:lineRule="auto"/>
              <w:jc w:val="center"/>
              <w:rPr>
                <w:b/>
                <w:bCs/>
              </w:rPr>
            </w:pPr>
            <w:r>
              <w:rPr>
                <w:b/>
                <w:bCs/>
              </w:rPr>
              <w:t>£ Lawful Money 1771</w:t>
            </w:r>
          </w:p>
        </w:tc>
      </w:tr>
      <w:tr w:rsidR="00901D69" w:rsidTr="00901D69">
        <w:trPr>
          <w:trHeight w:val="510"/>
          <w:jc w:val="center"/>
        </w:trPr>
        <w:tc>
          <w:tcPr>
            <w:tcW w:w="0" w:type="auto"/>
            <w:tcBorders>
              <w:top w:val="single" w:sz="4" w:space="0" w:color="auto"/>
              <w:left w:val="nil"/>
              <w:bottom w:val="nil"/>
              <w:right w:val="single" w:sz="4" w:space="0" w:color="auto"/>
            </w:tcBorders>
          </w:tcPr>
          <w:p w:rsidR="00901D69" w:rsidRDefault="00901D69" w:rsidP="00BE76E1">
            <w:pPr>
              <w:spacing w:after="0" w:line="240" w:lineRule="auto"/>
              <w:jc w:val="center"/>
            </w:pPr>
          </w:p>
          <w:p w:rsidR="00901D69" w:rsidRDefault="00901D69" w:rsidP="00BE76E1">
            <w:pPr>
              <w:spacing w:after="0" w:line="240" w:lineRule="auto"/>
              <w:jc w:val="center"/>
            </w:pPr>
            <w:r>
              <w:t>Sale</w:t>
            </w:r>
          </w:p>
        </w:tc>
        <w:tc>
          <w:tcPr>
            <w:tcW w:w="0" w:type="auto"/>
            <w:tcBorders>
              <w:top w:val="single" w:sz="4" w:space="0" w:color="auto"/>
              <w:left w:val="nil"/>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8/18/1718</w:t>
            </w:r>
          </w:p>
          <w:p w:rsidR="00901D69" w:rsidRDefault="00901D69" w:rsidP="00BE76E1">
            <w:pPr>
              <w:spacing w:after="0" w:line="240" w:lineRule="auto"/>
              <w:jc w:val="center"/>
            </w:pPr>
          </w:p>
        </w:tc>
        <w:tc>
          <w:tcPr>
            <w:tcW w:w="1882" w:type="dxa"/>
            <w:tcBorders>
              <w:top w:val="single" w:sz="4" w:space="0" w:color="auto"/>
              <w:left w:val="single" w:sz="4" w:space="0" w:color="auto"/>
              <w:bottom w:val="nil"/>
              <w:right w:val="single" w:sz="4" w:space="0" w:color="auto"/>
            </w:tcBorders>
            <w:vAlign w:val="bottom"/>
          </w:tcPr>
          <w:p w:rsidR="00901D69" w:rsidRDefault="00901D69" w:rsidP="00BE76E1">
            <w:pPr>
              <w:spacing w:after="0" w:line="240" w:lineRule="auto"/>
              <w:jc w:val="center"/>
            </w:pPr>
            <w:r>
              <w:t>to weaving 25.75 yd cotton and linen @10d</w:t>
            </w:r>
          </w:p>
        </w:tc>
        <w:tc>
          <w:tcPr>
            <w:tcW w:w="0" w:type="auto"/>
            <w:tcBorders>
              <w:top w:val="single" w:sz="4" w:space="0" w:color="auto"/>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1.07</w:t>
            </w:r>
          </w:p>
        </w:tc>
        <w:tc>
          <w:tcPr>
            <w:tcW w:w="0" w:type="auto"/>
            <w:tcBorders>
              <w:top w:val="single" w:sz="4" w:space="0" w:color="auto"/>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0.714</w:t>
            </w:r>
          </w:p>
        </w:tc>
        <w:tc>
          <w:tcPr>
            <w:tcW w:w="0" w:type="auto"/>
            <w:tcBorders>
              <w:top w:val="single" w:sz="4" w:space="0" w:color="auto"/>
              <w:left w:val="single" w:sz="4" w:space="0" w:color="auto"/>
              <w:bottom w:val="nil"/>
              <w:right w:val="nil"/>
            </w:tcBorders>
            <w:noWrap/>
          </w:tcPr>
          <w:p w:rsidR="00901D69" w:rsidRDefault="00901D69" w:rsidP="00BE76E1">
            <w:pPr>
              <w:spacing w:after="0" w:line="240" w:lineRule="auto"/>
              <w:jc w:val="center"/>
            </w:pPr>
          </w:p>
          <w:p w:rsidR="00901D69" w:rsidRDefault="00901D69" w:rsidP="00BE76E1">
            <w:pPr>
              <w:spacing w:after="0" w:line="240" w:lineRule="auto"/>
              <w:jc w:val="center"/>
            </w:pPr>
            <w:r>
              <w:t>0.811</w:t>
            </w:r>
          </w:p>
        </w:tc>
      </w:tr>
      <w:tr w:rsidR="00901D69" w:rsidTr="00901D69">
        <w:trPr>
          <w:trHeight w:val="510"/>
          <w:jc w:val="center"/>
        </w:trPr>
        <w:tc>
          <w:tcPr>
            <w:tcW w:w="0" w:type="auto"/>
            <w:tcBorders>
              <w:top w:val="nil"/>
              <w:left w:val="nil"/>
              <w:bottom w:val="nil"/>
              <w:right w:val="single" w:sz="4" w:space="0" w:color="auto"/>
            </w:tcBorders>
          </w:tcPr>
          <w:p w:rsidR="00901D69" w:rsidRDefault="00901D69" w:rsidP="00BE76E1">
            <w:pPr>
              <w:spacing w:after="0" w:line="240" w:lineRule="auto"/>
              <w:jc w:val="center"/>
            </w:pPr>
          </w:p>
          <w:p w:rsidR="00901D69" w:rsidRDefault="00901D69" w:rsidP="00BE76E1">
            <w:pPr>
              <w:spacing w:after="0" w:line="240" w:lineRule="auto"/>
              <w:jc w:val="center"/>
            </w:pPr>
            <w:r>
              <w:t>Repayment</w:t>
            </w:r>
          </w:p>
        </w:tc>
        <w:tc>
          <w:tcPr>
            <w:tcW w:w="0" w:type="auto"/>
            <w:tcBorders>
              <w:top w:val="nil"/>
              <w:left w:val="nil"/>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8/19/1718</w:t>
            </w:r>
          </w:p>
        </w:tc>
        <w:tc>
          <w:tcPr>
            <w:tcW w:w="1882" w:type="dxa"/>
            <w:tcBorders>
              <w:top w:val="nil"/>
              <w:left w:val="single" w:sz="4" w:space="0" w:color="auto"/>
              <w:bottom w:val="nil"/>
              <w:right w:val="single" w:sz="4" w:space="0" w:color="auto"/>
            </w:tcBorders>
            <w:vAlign w:val="bottom"/>
          </w:tcPr>
          <w:p w:rsidR="00901D69" w:rsidRDefault="00901D69" w:rsidP="00BE76E1">
            <w:pPr>
              <w:spacing w:after="0" w:line="240" w:lineRule="auto"/>
              <w:jc w:val="center"/>
            </w:pPr>
            <w:r>
              <w:t>by money rec'd by hand of her sister 4/4</w:t>
            </w:r>
          </w:p>
        </w:tc>
        <w:tc>
          <w:tcPr>
            <w:tcW w:w="0" w:type="auto"/>
            <w:tcBorders>
              <w:top w:val="nil"/>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0.22</w:t>
            </w:r>
          </w:p>
        </w:tc>
        <w:tc>
          <w:tcPr>
            <w:tcW w:w="0" w:type="auto"/>
            <w:tcBorders>
              <w:top w:val="nil"/>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0.144</w:t>
            </w:r>
          </w:p>
        </w:tc>
        <w:tc>
          <w:tcPr>
            <w:tcW w:w="0" w:type="auto"/>
            <w:tcBorders>
              <w:top w:val="nil"/>
              <w:left w:val="single" w:sz="4" w:space="0" w:color="auto"/>
              <w:bottom w:val="nil"/>
              <w:right w:val="nil"/>
            </w:tcBorders>
            <w:noWrap/>
          </w:tcPr>
          <w:p w:rsidR="00901D69" w:rsidRDefault="00901D69" w:rsidP="00BE76E1">
            <w:pPr>
              <w:spacing w:after="0" w:line="240" w:lineRule="auto"/>
              <w:jc w:val="center"/>
            </w:pPr>
          </w:p>
          <w:p w:rsidR="00901D69" w:rsidRDefault="00901D69" w:rsidP="00BE76E1">
            <w:pPr>
              <w:spacing w:after="0" w:line="240" w:lineRule="auto"/>
              <w:jc w:val="center"/>
            </w:pPr>
            <w:r>
              <w:t>0.164</w:t>
            </w:r>
          </w:p>
        </w:tc>
      </w:tr>
      <w:tr w:rsidR="00901D69" w:rsidTr="00901D69">
        <w:trPr>
          <w:trHeight w:val="510"/>
          <w:jc w:val="center"/>
        </w:trPr>
        <w:tc>
          <w:tcPr>
            <w:tcW w:w="0" w:type="auto"/>
            <w:tcBorders>
              <w:top w:val="nil"/>
              <w:left w:val="nil"/>
              <w:bottom w:val="nil"/>
              <w:right w:val="single" w:sz="4" w:space="0" w:color="auto"/>
            </w:tcBorders>
          </w:tcPr>
          <w:p w:rsidR="00901D69" w:rsidRDefault="00901D69" w:rsidP="00BE76E1">
            <w:pPr>
              <w:spacing w:after="0" w:line="240" w:lineRule="auto"/>
              <w:jc w:val="center"/>
            </w:pPr>
          </w:p>
          <w:p w:rsidR="00901D69" w:rsidRDefault="00901D69" w:rsidP="00BE76E1">
            <w:pPr>
              <w:spacing w:after="0" w:line="240" w:lineRule="auto"/>
              <w:jc w:val="center"/>
            </w:pPr>
            <w:r>
              <w:t>Repayment</w:t>
            </w:r>
          </w:p>
          <w:p w:rsidR="00901D69" w:rsidRDefault="00901D69" w:rsidP="00BE76E1">
            <w:pPr>
              <w:spacing w:after="0" w:line="240" w:lineRule="auto"/>
              <w:jc w:val="center"/>
            </w:pPr>
          </w:p>
        </w:tc>
        <w:tc>
          <w:tcPr>
            <w:tcW w:w="0" w:type="auto"/>
            <w:tcBorders>
              <w:top w:val="nil"/>
              <w:left w:val="nil"/>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1/21/1719</w:t>
            </w:r>
          </w:p>
        </w:tc>
        <w:tc>
          <w:tcPr>
            <w:tcW w:w="1882" w:type="dxa"/>
            <w:tcBorders>
              <w:top w:val="nil"/>
              <w:left w:val="single" w:sz="4" w:space="0" w:color="auto"/>
              <w:bottom w:val="nil"/>
              <w:right w:val="single" w:sz="4" w:space="0" w:color="auto"/>
            </w:tcBorders>
            <w:vAlign w:val="bottom"/>
          </w:tcPr>
          <w:p w:rsidR="00901D69" w:rsidRDefault="00901D69" w:rsidP="00BE76E1">
            <w:pPr>
              <w:spacing w:after="0" w:line="240" w:lineRule="auto"/>
              <w:jc w:val="center"/>
            </w:pPr>
            <w:r>
              <w:t>by money rec'd by her own hand 15/</w:t>
            </w:r>
          </w:p>
          <w:p w:rsidR="00901D69" w:rsidRDefault="00901D69" w:rsidP="00BE76E1">
            <w:pPr>
              <w:spacing w:after="0" w:line="240" w:lineRule="auto"/>
              <w:jc w:val="center"/>
            </w:pPr>
          </w:p>
        </w:tc>
        <w:tc>
          <w:tcPr>
            <w:tcW w:w="0" w:type="auto"/>
            <w:tcBorders>
              <w:top w:val="nil"/>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0.75</w:t>
            </w:r>
          </w:p>
        </w:tc>
        <w:tc>
          <w:tcPr>
            <w:tcW w:w="0" w:type="auto"/>
            <w:tcBorders>
              <w:top w:val="nil"/>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0.471</w:t>
            </w:r>
          </w:p>
        </w:tc>
        <w:tc>
          <w:tcPr>
            <w:tcW w:w="0" w:type="auto"/>
            <w:tcBorders>
              <w:top w:val="nil"/>
              <w:left w:val="single" w:sz="4" w:space="0" w:color="auto"/>
              <w:bottom w:val="nil"/>
              <w:right w:val="nil"/>
            </w:tcBorders>
            <w:noWrap/>
          </w:tcPr>
          <w:p w:rsidR="00901D69" w:rsidRDefault="00901D69" w:rsidP="00BE76E1">
            <w:pPr>
              <w:spacing w:after="0" w:line="240" w:lineRule="auto"/>
              <w:jc w:val="center"/>
            </w:pPr>
          </w:p>
          <w:p w:rsidR="00901D69" w:rsidRDefault="00901D69" w:rsidP="00BE76E1">
            <w:pPr>
              <w:spacing w:after="0" w:line="240" w:lineRule="auto"/>
              <w:jc w:val="center"/>
            </w:pPr>
            <w:r>
              <w:t>0.512</w:t>
            </w:r>
          </w:p>
        </w:tc>
      </w:tr>
      <w:tr w:rsidR="00901D69" w:rsidTr="00901D69">
        <w:trPr>
          <w:trHeight w:val="510"/>
          <w:jc w:val="center"/>
        </w:trPr>
        <w:tc>
          <w:tcPr>
            <w:tcW w:w="0" w:type="auto"/>
            <w:tcBorders>
              <w:top w:val="nil"/>
              <w:left w:val="nil"/>
              <w:bottom w:val="nil"/>
              <w:right w:val="single" w:sz="4" w:space="0" w:color="auto"/>
            </w:tcBorders>
          </w:tcPr>
          <w:p w:rsidR="00901D69" w:rsidRDefault="00901D69" w:rsidP="00BE76E1">
            <w:pPr>
              <w:spacing w:after="0" w:line="240" w:lineRule="auto"/>
              <w:jc w:val="center"/>
            </w:pPr>
          </w:p>
          <w:p w:rsidR="00901D69" w:rsidRDefault="00901D69" w:rsidP="00BE76E1">
            <w:pPr>
              <w:spacing w:after="0" w:line="240" w:lineRule="auto"/>
              <w:jc w:val="center"/>
            </w:pPr>
            <w:r>
              <w:t>Repayment</w:t>
            </w:r>
          </w:p>
        </w:tc>
        <w:tc>
          <w:tcPr>
            <w:tcW w:w="0" w:type="auto"/>
            <w:tcBorders>
              <w:top w:val="nil"/>
              <w:left w:val="nil"/>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8/20/1723</w:t>
            </w:r>
          </w:p>
        </w:tc>
        <w:tc>
          <w:tcPr>
            <w:tcW w:w="1882" w:type="dxa"/>
            <w:tcBorders>
              <w:top w:val="nil"/>
              <w:left w:val="single" w:sz="4" w:space="0" w:color="auto"/>
              <w:bottom w:val="nil"/>
              <w:right w:val="single" w:sz="4" w:space="0" w:color="auto"/>
            </w:tcBorders>
            <w:vAlign w:val="bottom"/>
          </w:tcPr>
          <w:p w:rsidR="00901D69" w:rsidRDefault="00901D69" w:rsidP="00BE76E1">
            <w:pPr>
              <w:spacing w:after="0" w:line="240" w:lineRule="auto"/>
              <w:jc w:val="center"/>
            </w:pPr>
            <w:r>
              <w:t>Rec'd by Mr. Edgecomb on account 2/1</w:t>
            </w:r>
          </w:p>
        </w:tc>
        <w:tc>
          <w:tcPr>
            <w:tcW w:w="0" w:type="auto"/>
            <w:tcBorders>
              <w:top w:val="nil"/>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0.10</w:t>
            </w:r>
          </w:p>
        </w:tc>
        <w:tc>
          <w:tcPr>
            <w:tcW w:w="0" w:type="auto"/>
            <w:tcBorders>
              <w:top w:val="nil"/>
              <w:left w:val="single" w:sz="4" w:space="0" w:color="auto"/>
              <w:bottom w:val="nil"/>
              <w:right w:val="single" w:sz="4" w:space="0" w:color="auto"/>
            </w:tcBorders>
            <w:noWrap/>
          </w:tcPr>
          <w:p w:rsidR="00901D69" w:rsidRDefault="00901D69" w:rsidP="00BE76E1">
            <w:pPr>
              <w:spacing w:after="0" w:line="240" w:lineRule="auto"/>
              <w:jc w:val="center"/>
            </w:pPr>
          </w:p>
          <w:p w:rsidR="00901D69" w:rsidRDefault="00901D69" w:rsidP="00BE76E1">
            <w:pPr>
              <w:spacing w:after="0" w:line="240" w:lineRule="auto"/>
              <w:jc w:val="center"/>
            </w:pPr>
            <w:r>
              <w:t>0.058</w:t>
            </w:r>
            <w:r>
              <w:rPr>
                <w:rStyle w:val="FootnoteReference"/>
              </w:rPr>
              <w:footnoteReference w:id="8"/>
            </w:r>
          </w:p>
        </w:tc>
        <w:tc>
          <w:tcPr>
            <w:tcW w:w="0" w:type="auto"/>
            <w:tcBorders>
              <w:top w:val="nil"/>
              <w:left w:val="single" w:sz="4" w:space="0" w:color="auto"/>
              <w:bottom w:val="nil"/>
              <w:right w:val="nil"/>
            </w:tcBorders>
            <w:noWrap/>
          </w:tcPr>
          <w:p w:rsidR="00901D69" w:rsidRDefault="00901D69" w:rsidP="00BE76E1">
            <w:pPr>
              <w:spacing w:after="0" w:line="240" w:lineRule="auto"/>
              <w:jc w:val="center"/>
            </w:pPr>
          </w:p>
          <w:p w:rsidR="00901D69" w:rsidRDefault="00901D69" w:rsidP="00BE76E1">
            <w:pPr>
              <w:spacing w:after="0" w:line="240" w:lineRule="auto"/>
              <w:jc w:val="center"/>
            </w:pPr>
            <w:r>
              <w:t>0.076</w:t>
            </w:r>
          </w:p>
        </w:tc>
      </w:tr>
    </w:tbl>
    <w:p w:rsidR="00B75F03" w:rsidRDefault="00B75F03" w:rsidP="006B3FA8">
      <w:pPr>
        <w:spacing w:after="0" w:line="480" w:lineRule="auto"/>
        <w:ind w:left="990" w:right="945"/>
        <w:jc w:val="both"/>
      </w:pPr>
    </w:p>
    <w:p w:rsidR="005E1345" w:rsidRDefault="00B75F03" w:rsidP="00BE76E1">
      <w:pPr>
        <w:spacing w:after="0" w:line="480" w:lineRule="auto"/>
        <w:ind w:left="990" w:right="945"/>
        <w:jc w:val="both"/>
      </w:pPr>
      <w:r>
        <w:t>Sources: Huntington, Isaac.  Account Book, 1717-1729.  Manuscript Collections, Connecticut Historical Society, Hartford, Connect</w:t>
      </w:r>
      <w:r w:rsidR="00865CED">
        <w:t>i</w:t>
      </w:r>
      <w:r>
        <w:t xml:space="preserve">cut. </w:t>
      </w:r>
    </w:p>
    <w:p w:rsidR="005E1345" w:rsidRDefault="005E1345" w:rsidP="00BE76E1">
      <w:pPr>
        <w:spacing w:after="0" w:line="480" w:lineRule="auto"/>
        <w:ind w:left="990" w:right="945"/>
        <w:jc w:val="both"/>
      </w:pPr>
    </w:p>
    <w:p w:rsidR="005E1345" w:rsidRDefault="00B75F03" w:rsidP="00BE76E1">
      <w:pPr>
        <w:spacing w:after="0" w:line="480" w:lineRule="auto"/>
        <w:ind w:left="990" w:right="945"/>
        <w:jc w:val="both"/>
      </w:pPr>
      <w:r>
        <w:t xml:space="preserve">Exchange rates between old tenor and </w:t>
      </w:r>
      <w:r w:rsidR="00F42512">
        <w:t>L</w:t>
      </w:r>
      <w:r>
        <w:t xml:space="preserve">awful </w:t>
      </w:r>
      <w:r w:rsidR="00F42512">
        <w:t>M</w:t>
      </w:r>
      <w:r w:rsidR="00720E7F">
        <w:t>o</w:t>
      </w:r>
      <w:r>
        <w:t xml:space="preserve">ney derived from McCusker, John J., </w:t>
      </w:r>
      <w:r w:rsidRPr="00F541CE">
        <w:rPr>
          <w:i/>
        </w:rPr>
        <w:t>Money and Exchange in Europe and America, 1600-1775: A Handbook</w:t>
      </w:r>
      <w:r>
        <w:t xml:space="preserve">, Chapel Hill: University of North Carolina Press, 1978, Tables </w:t>
      </w:r>
      <w:r w:rsidR="00F541CE">
        <w:t>3.</w:t>
      </w:r>
      <w:r w:rsidR="00564A82">
        <w:t>1</w:t>
      </w:r>
      <w:r>
        <w:t xml:space="preserve"> and 3.4</w:t>
      </w:r>
      <w:r w:rsidR="005E1345">
        <w:t>.</w:t>
      </w:r>
    </w:p>
    <w:p w:rsidR="00103CDD" w:rsidRDefault="005E1345" w:rsidP="00103CDD">
      <w:pPr>
        <w:spacing w:after="0" w:line="480" w:lineRule="auto"/>
        <w:ind w:left="990" w:right="945"/>
        <w:jc w:val="both"/>
        <w:rPr>
          <w:b/>
        </w:rPr>
      </w:pPr>
      <w:r>
        <w:t>P</w:t>
      </w:r>
      <w:r w:rsidR="00B75F03">
        <w:t xml:space="preserve">rice index from </w:t>
      </w:r>
      <w:r w:rsidR="00F42512">
        <w:t>L</w:t>
      </w:r>
      <w:r w:rsidR="00B75F03">
        <w:t xml:space="preserve">awful </w:t>
      </w:r>
      <w:r w:rsidR="00F42512">
        <w:t>M</w:t>
      </w:r>
      <w:r w:rsidR="00B75F03">
        <w:t>oney (base 177</w:t>
      </w:r>
      <w:r w:rsidR="00F541CE">
        <w:t>1</w:t>
      </w:r>
      <w:r w:rsidR="00B75F03">
        <w:t xml:space="preserve">) from McCusker, John J.  </w:t>
      </w:r>
      <w:r w:rsidR="00B75F03" w:rsidRPr="00F541CE">
        <w:rPr>
          <w:i/>
        </w:rPr>
        <w:t>How Much Is That in Real Money? A Historical Price Index for Use as a Deflator of Money Values in the Economy of the United States</w:t>
      </w:r>
      <w:r w:rsidR="00B75F03" w:rsidRPr="00A101EE">
        <w:t>.  Proceedings of the American Antiquarian Society</w:t>
      </w:r>
      <w:r w:rsidR="00B75F03">
        <w:t xml:space="preserve">, Volume 101, Part 2. October, 1991 </w:t>
      </w:r>
    </w:p>
    <w:p w:rsidR="005E1345" w:rsidRDefault="00BE76E1" w:rsidP="00103CDD">
      <w:pPr>
        <w:spacing w:after="0" w:line="480" w:lineRule="auto"/>
        <w:ind w:left="990" w:right="945" w:hanging="990"/>
        <w:jc w:val="both"/>
        <w:rPr>
          <w:b/>
        </w:rPr>
      </w:pPr>
      <w:r>
        <w:rPr>
          <w:b/>
        </w:rPr>
        <w:lastRenderedPageBreak/>
        <w:t>T</w:t>
      </w:r>
      <w:r w:rsidR="00B75F03" w:rsidRPr="00AC554D">
        <w:rPr>
          <w:b/>
        </w:rPr>
        <w:t>able 1</w:t>
      </w:r>
      <w:r w:rsidR="00AC554D">
        <w:rPr>
          <w:b/>
        </w:rPr>
        <w:t xml:space="preserve">.  </w:t>
      </w:r>
    </w:p>
    <w:p w:rsidR="00B75F03" w:rsidRPr="00AC554D" w:rsidRDefault="003F26F0" w:rsidP="00BE76E1">
      <w:pPr>
        <w:spacing w:after="0" w:line="480" w:lineRule="auto"/>
        <w:rPr>
          <w:b/>
        </w:rPr>
      </w:pPr>
      <w:r w:rsidRPr="00AC554D">
        <w:rPr>
          <w:b/>
        </w:rPr>
        <w:t>Frequency of Recorded S</w:t>
      </w:r>
      <w:r w:rsidR="0025109B" w:rsidRPr="00AC554D">
        <w:rPr>
          <w:b/>
        </w:rPr>
        <w:t>ales</w:t>
      </w:r>
      <w:r w:rsidR="00B75F03" w:rsidRPr="00AC554D">
        <w:rPr>
          <w:b/>
        </w:rPr>
        <w:t xml:space="preserve"> </w:t>
      </w:r>
      <w:r w:rsidR="00AC554D">
        <w:rPr>
          <w:b/>
        </w:rPr>
        <w:t>b</w:t>
      </w:r>
      <w:r w:rsidRPr="00AC554D">
        <w:rPr>
          <w:b/>
        </w:rPr>
        <w:t>y C</w:t>
      </w:r>
      <w:r w:rsidR="00B75F03" w:rsidRPr="00AC554D">
        <w:rPr>
          <w:b/>
        </w:rPr>
        <w:t>ategory</w:t>
      </w:r>
    </w:p>
    <w:p w:rsidR="00B75F03" w:rsidRPr="00AC554D" w:rsidRDefault="00B75F03" w:rsidP="006B3FA8">
      <w:pPr>
        <w:spacing w:after="0" w:line="480" w:lineRule="auto"/>
        <w:jc w:val="both"/>
      </w:pPr>
    </w:p>
    <w:tbl>
      <w:tblPr>
        <w:tblW w:w="4264"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74"/>
        <w:gridCol w:w="1038"/>
        <w:gridCol w:w="690"/>
        <w:gridCol w:w="590"/>
        <w:gridCol w:w="782"/>
      </w:tblGrid>
      <w:tr w:rsidR="00B75F03" w:rsidTr="00976E7E">
        <w:trPr>
          <w:trHeight w:val="255"/>
          <w:jc w:val="center"/>
        </w:trPr>
        <w:tc>
          <w:tcPr>
            <w:tcW w:w="1274" w:type="dxa"/>
            <w:tcBorders>
              <w:bottom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both"/>
              <w:rPr>
                <w:b/>
                <w:bCs/>
                <w:sz w:val="20"/>
              </w:rPr>
            </w:pPr>
          </w:p>
        </w:tc>
        <w:tc>
          <w:tcPr>
            <w:tcW w:w="1038" w:type="dxa"/>
            <w:tcBorders>
              <w:bottom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b/>
                <w:bCs/>
                <w:sz w:val="20"/>
              </w:rPr>
            </w:pPr>
            <w:r>
              <w:rPr>
                <w:b/>
                <w:bCs/>
                <w:sz w:val="20"/>
              </w:rPr>
              <w:t xml:space="preserve">Total </w:t>
            </w:r>
            <w:r w:rsidR="00564A82">
              <w:rPr>
                <w:b/>
                <w:bCs/>
                <w:sz w:val="20"/>
              </w:rPr>
              <w:t xml:space="preserve">Recorded </w:t>
            </w:r>
            <w:r w:rsidR="0025109B">
              <w:rPr>
                <w:b/>
                <w:bCs/>
                <w:sz w:val="20"/>
              </w:rPr>
              <w:t>Sales</w:t>
            </w:r>
          </w:p>
        </w:tc>
        <w:tc>
          <w:tcPr>
            <w:tcW w:w="630" w:type="dxa"/>
            <w:tcBorders>
              <w:bottom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b/>
                <w:bCs/>
                <w:sz w:val="20"/>
              </w:rPr>
            </w:pPr>
            <w:r>
              <w:rPr>
                <w:b/>
                <w:bCs/>
                <w:sz w:val="20"/>
              </w:rPr>
              <w:t>Credit</w:t>
            </w:r>
          </w:p>
        </w:tc>
        <w:tc>
          <w:tcPr>
            <w:tcW w:w="540" w:type="dxa"/>
            <w:tcBorders>
              <w:bottom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b/>
                <w:bCs/>
                <w:sz w:val="20"/>
              </w:rPr>
            </w:pPr>
            <w:r>
              <w:rPr>
                <w:b/>
                <w:bCs/>
                <w:sz w:val="20"/>
              </w:rPr>
              <w:t>Cash</w:t>
            </w:r>
          </w:p>
        </w:tc>
        <w:tc>
          <w:tcPr>
            <w:tcW w:w="782" w:type="dxa"/>
            <w:tcBorders>
              <w:bottom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b/>
                <w:bCs/>
                <w:sz w:val="20"/>
              </w:rPr>
            </w:pPr>
            <w:r>
              <w:rPr>
                <w:b/>
                <w:bCs/>
                <w:sz w:val="20"/>
              </w:rPr>
              <w:t>Barter</w:t>
            </w:r>
          </w:p>
        </w:tc>
      </w:tr>
      <w:tr w:rsidR="00B75F03" w:rsidTr="00976E7E">
        <w:trPr>
          <w:trHeight w:val="255"/>
          <w:jc w:val="center"/>
        </w:trPr>
        <w:tc>
          <w:tcPr>
            <w:tcW w:w="1274" w:type="dxa"/>
            <w:tcBorders>
              <w:top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both"/>
              <w:rPr>
                <w:b/>
                <w:bCs/>
                <w:sz w:val="20"/>
              </w:rPr>
            </w:pPr>
            <w:r>
              <w:rPr>
                <w:b/>
                <w:bCs/>
                <w:sz w:val="20"/>
              </w:rPr>
              <w:t>Conn</w:t>
            </w:r>
            <w:r w:rsidR="0025109B">
              <w:rPr>
                <w:b/>
                <w:bCs/>
                <w:sz w:val="20"/>
              </w:rPr>
              <w:t xml:space="preserve">ecticut  </w:t>
            </w:r>
          </w:p>
        </w:tc>
        <w:tc>
          <w:tcPr>
            <w:tcW w:w="1038" w:type="dxa"/>
            <w:tcBorders>
              <w:top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4108</w:t>
            </w:r>
            <w:r w:rsidR="003F26F0">
              <w:rPr>
                <w:sz w:val="20"/>
              </w:rPr>
              <w:t xml:space="preserve"> (100.0%)</w:t>
            </w:r>
          </w:p>
        </w:tc>
        <w:tc>
          <w:tcPr>
            <w:tcW w:w="630" w:type="dxa"/>
            <w:tcBorders>
              <w:top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4051</w:t>
            </w:r>
            <w:r w:rsidR="003F26F0">
              <w:rPr>
                <w:sz w:val="20"/>
              </w:rPr>
              <w:t xml:space="preserve"> (98.6%)</w:t>
            </w:r>
          </w:p>
        </w:tc>
        <w:tc>
          <w:tcPr>
            <w:tcW w:w="540" w:type="dxa"/>
            <w:tcBorders>
              <w:top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43</w:t>
            </w:r>
            <w:r w:rsidR="003F26F0">
              <w:rPr>
                <w:sz w:val="20"/>
              </w:rPr>
              <w:t xml:space="preserve"> (1.</w:t>
            </w:r>
            <w:r w:rsidR="00A47F35">
              <w:rPr>
                <w:sz w:val="20"/>
              </w:rPr>
              <w:t>0</w:t>
            </w:r>
            <w:r w:rsidR="003F26F0">
              <w:rPr>
                <w:sz w:val="20"/>
              </w:rPr>
              <w:t>%)</w:t>
            </w:r>
          </w:p>
        </w:tc>
        <w:tc>
          <w:tcPr>
            <w:tcW w:w="782" w:type="dxa"/>
            <w:tcBorders>
              <w:top w:val="single" w:sz="6" w:space="0" w:color="808080"/>
            </w:tcBorders>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14</w:t>
            </w:r>
            <w:r w:rsidR="003F26F0">
              <w:rPr>
                <w:sz w:val="20"/>
              </w:rPr>
              <w:t xml:space="preserve"> (0.3%)</w:t>
            </w:r>
          </w:p>
        </w:tc>
      </w:tr>
      <w:tr w:rsidR="00B75F03" w:rsidTr="00976E7E">
        <w:trPr>
          <w:trHeight w:val="255"/>
          <w:jc w:val="center"/>
        </w:trPr>
        <w:tc>
          <w:tcPr>
            <w:tcW w:w="1274" w:type="dxa"/>
            <w:noWrap/>
            <w:tcMar>
              <w:top w:w="20" w:type="dxa"/>
              <w:left w:w="20" w:type="dxa"/>
              <w:bottom w:w="0" w:type="dxa"/>
              <w:right w:w="20" w:type="dxa"/>
            </w:tcMar>
            <w:vAlign w:val="bottom"/>
          </w:tcPr>
          <w:p w:rsidR="00B75F03" w:rsidRDefault="00B75F03" w:rsidP="00BE76E1">
            <w:pPr>
              <w:spacing w:after="0" w:line="240" w:lineRule="auto"/>
              <w:jc w:val="both"/>
              <w:rPr>
                <w:b/>
                <w:bCs/>
                <w:sz w:val="20"/>
              </w:rPr>
            </w:pPr>
            <w:r>
              <w:rPr>
                <w:b/>
                <w:bCs/>
                <w:sz w:val="20"/>
              </w:rPr>
              <w:t>Mass</w:t>
            </w:r>
            <w:r w:rsidR="0025109B">
              <w:rPr>
                <w:b/>
                <w:bCs/>
                <w:sz w:val="20"/>
              </w:rPr>
              <w:t>achusetts</w:t>
            </w:r>
          </w:p>
        </w:tc>
        <w:tc>
          <w:tcPr>
            <w:tcW w:w="1038" w:type="dxa"/>
            <w:noWrap/>
            <w:tcMar>
              <w:top w:w="20" w:type="dxa"/>
              <w:left w:w="20" w:type="dxa"/>
              <w:bottom w:w="0" w:type="dxa"/>
              <w:right w:w="20" w:type="dxa"/>
            </w:tcMar>
            <w:vAlign w:val="bottom"/>
          </w:tcPr>
          <w:p w:rsidR="007C426C" w:rsidRDefault="007C426C" w:rsidP="00BE76E1">
            <w:pPr>
              <w:spacing w:after="0" w:line="240" w:lineRule="auto"/>
              <w:jc w:val="center"/>
              <w:rPr>
                <w:sz w:val="20"/>
              </w:rPr>
            </w:pPr>
          </w:p>
          <w:p w:rsidR="00B75F03" w:rsidRDefault="00B75F03" w:rsidP="00BE76E1">
            <w:pPr>
              <w:spacing w:after="0" w:line="240" w:lineRule="auto"/>
              <w:jc w:val="center"/>
              <w:rPr>
                <w:sz w:val="20"/>
              </w:rPr>
            </w:pPr>
            <w:r>
              <w:rPr>
                <w:sz w:val="20"/>
              </w:rPr>
              <w:t>5529</w:t>
            </w:r>
            <w:r w:rsidR="003F26F0">
              <w:rPr>
                <w:sz w:val="20"/>
              </w:rPr>
              <w:t xml:space="preserve"> (100.0%)</w:t>
            </w:r>
          </w:p>
        </w:tc>
        <w:tc>
          <w:tcPr>
            <w:tcW w:w="630" w:type="dxa"/>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5448</w:t>
            </w:r>
            <w:r w:rsidR="003F26F0">
              <w:rPr>
                <w:sz w:val="20"/>
              </w:rPr>
              <w:t xml:space="preserve"> (98.5%)</w:t>
            </w:r>
          </w:p>
        </w:tc>
        <w:tc>
          <w:tcPr>
            <w:tcW w:w="540" w:type="dxa"/>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57</w:t>
            </w:r>
            <w:r w:rsidR="003F26F0">
              <w:rPr>
                <w:sz w:val="20"/>
              </w:rPr>
              <w:t xml:space="preserve"> (1.0%)</w:t>
            </w:r>
          </w:p>
        </w:tc>
        <w:tc>
          <w:tcPr>
            <w:tcW w:w="782" w:type="dxa"/>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24</w:t>
            </w:r>
            <w:r w:rsidR="003F26F0">
              <w:rPr>
                <w:sz w:val="20"/>
              </w:rPr>
              <w:t xml:space="preserve"> (0.4%)</w:t>
            </w:r>
          </w:p>
        </w:tc>
      </w:tr>
      <w:tr w:rsidR="00B75F03" w:rsidTr="00976E7E">
        <w:trPr>
          <w:trHeight w:val="255"/>
          <w:jc w:val="center"/>
        </w:trPr>
        <w:tc>
          <w:tcPr>
            <w:tcW w:w="1274" w:type="dxa"/>
            <w:noWrap/>
            <w:tcMar>
              <w:top w:w="20" w:type="dxa"/>
              <w:left w:w="20" w:type="dxa"/>
              <w:bottom w:w="0" w:type="dxa"/>
              <w:right w:w="20" w:type="dxa"/>
            </w:tcMar>
            <w:vAlign w:val="bottom"/>
          </w:tcPr>
          <w:p w:rsidR="00B75F03" w:rsidRDefault="00B75F03" w:rsidP="00BE76E1">
            <w:pPr>
              <w:spacing w:after="0" w:line="240" w:lineRule="auto"/>
              <w:jc w:val="both"/>
              <w:rPr>
                <w:b/>
                <w:bCs/>
                <w:sz w:val="20"/>
              </w:rPr>
            </w:pPr>
            <w:r>
              <w:rPr>
                <w:b/>
                <w:bCs/>
                <w:sz w:val="20"/>
              </w:rPr>
              <w:t>Total</w:t>
            </w:r>
          </w:p>
        </w:tc>
        <w:tc>
          <w:tcPr>
            <w:tcW w:w="1038" w:type="dxa"/>
            <w:noWrap/>
            <w:tcMar>
              <w:top w:w="20" w:type="dxa"/>
              <w:left w:w="20" w:type="dxa"/>
              <w:bottom w:w="0" w:type="dxa"/>
              <w:right w:w="20" w:type="dxa"/>
            </w:tcMar>
            <w:vAlign w:val="bottom"/>
          </w:tcPr>
          <w:p w:rsidR="007C426C" w:rsidRDefault="007C426C" w:rsidP="00BE76E1">
            <w:pPr>
              <w:spacing w:after="0" w:line="240" w:lineRule="auto"/>
              <w:jc w:val="center"/>
              <w:rPr>
                <w:sz w:val="20"/>
              </w:rPr>
            </w:pPr>
          </w:p>
          <w:p w:rsidR="00B75F03" w:rsidRDefault="00B75F03" w:rsidP="00BE76E1">
            <w:pPr>
              <w:spacing w:after="0" w:line="240" w:lineRule="auto"/>
              <w:jc w:val="center"/>
              <w:rPr>
                <w:sz w:val="20"/>
              </w:rPr>
            </w:pPr>
            <w:r>
              <w:rPr>
                <w:sz w:val="20"/>
              </w:rPr>
              <w:t>9637</w:t>
            </w:r>
            <w:r w:rsidR="003F26F0">
              <w:rPr>
                <w:sz w:val="20"/>
              </w:rPr>
              <w:t xml:space="preserve"> (100.0%)</w:t>
            </w:r>
          </w:p>
        </w:tc>
        <w:tc>
          <w:tcPr>
            <w:tcW w:w="630" w:type="dxa"/>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9499</w:t>
            </w:r>
            <w:r w:rsidR="003F26F0">
              <w:rPr>
                <w:sz w:val="20"/>
              </w:rPr>
              <w:t xml:space="preserve"> (98.6%)</w:t>
            </w:r>
          </w:p>
        </w:tc>
        <w:tc>
          <w:tcPr>
            <w:tcW w:w="540" w:type="dxa"/>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100</w:t>
            </w:r>
            <w:r w:rsidR="003F26F0">
              <w:rPr>
                <w:sz w:val="20"/>
              </w:rPr>
              <w:t xml:space="preserve"> (1.0%)</w:t>
            </w:r>
          </w:p>
        </w:tc>
        <w:tc>
          <w:tcPr>
            <w:tcW w:w="782" w:type="dxa"/>
            <w:noWrap/>
            <w:tcMar>
              <w:top w:w="20" w:type="dxa"/>
              <w:left w:w="20" w:type="dxa"/>
              <w:bottom w:w="0" w:type="dxa"/>
              <w:right w:w="20" w:type="dxa"/>
            </w:tcMar>
            <w:vAlign w:val="bottom"/>
          </w:tcPr>
          <w:p w:rsidR="00B75F03" w:rsidRDefault="00B75F03" w:rsidP="00BE76E1">
            <w:pPr>
              <w:spacing w:after="0" w:line="240" w:lineRule="auto"/>
              <w:jc w:val="center"/>
              <w:rPr>
                <w:sz w:val="20"/>
              </w:rPr>
            </w:pPr>
            <w:r>
              <w:rPr>
                <w:sz w:val="20"/>
              </w:rPr>
              <w:t>38</w:t>
            </w:r>
            <w:r w:rsidR="003F26F0">
              <w:rPr>
                <w:sz w:val="20"/>
              </w:rPr>
              <w:t xml:space="preserve"> (0.4%)</w:t>
            </w:r>
          </w:p>
        </w:tc>
      </w:tr>
    </w:tbl>
    <w:p w:rsidR="00B75F03" w:rsidRDefault="00B75F03" w:rsidP="006B3FA8">
      <w:pPr>
        <w:spacing w:after="0" w:line="480" w:lineRule="auto"/>
        <w:jc w:val="both"/>
      </w:pPr>
    </w:p>
    <w:p w:rsidR="00B75F03" w:rsidRDefault="00B75F03" w:rsidP="006B3FA8">
      <w:pPr>
        <w:spacing w:after="0" w:line="480" w:lineRule="auto"/>
        <w:jc w:val="both"/>
      </w:pPr>
    </w:p>
    <w:p w:rsidR="005E1345" w:rsidRDefault="00B75F03" w:rsidP="006B3FA8">
      <w:pPr>
        <w:spacing w:after="0" w:line="480" w:lineRule="auto"/>
        <w:jc w:val="both"/>
        <w:rPr>
          <w:b/>
        </w:rPr>
      </w:pPr>
      <w:r w:rsidRPr="007C426C">
        <w:rPr>
          <w:b/>
        </w:rPr>
        <w:t xml:space="preserve">Table </w:t>
      </w:r>
      <w:r w:rsidR="007C426C" w:rsidRPr="007C426C">
        <w:rPr>
          <w:b/>
        </w:rPr>
        <w:t>2</w:t>
      </w:r>
      <w:r w:rsidRPr="007C426C">
        <w:rPr>
          <w:b/>
        </w:rPr>
        <w:t xml:space="preserve">. </w:t>
      </w:r>
      <w:r w:rsidR="007C426C" w:rsidRPr="007C426C">
        <w:rPr>
          <w:b/>
        </w:rPr>
        <w:t xml:space="preserve"> </w:t>
      </w:r>
    </w:p>
    <w:p w:rsidR="00B75F03" w:rsidRPr="007C426C" w:rsidRDefault="007C426C" w:rsidP="006B3FA8">
      <w:pPr>
        <w:spacing w:after="0" w:line="480" w:lineRule="auto"/>
        <w:jc w:val="both"/>
        <w:rPr>
          <w:b/>
        </w:rPr>
      </w:pPr>
      <w:r w:rsidRPr="007C426C">
        <w:rPr>
          <w:b/>
        </w:rPr>
        <w:t xml:space="preserve">Repayment Methods </w:t>
      </w:r>
    </w:p>
    <w:p w:rsidR="007C426C" w:rsidRDefault="007C426C" w:rsidP="006B3FA8">
      <w:pPr>
        <w:spacing w:after="0" w:line="480" w:lineRule="auto"/>
        <w:jc w:val="both"/>
      </w:pPr>
    </w:p>
    <w:tbl>
      <w:tblPr>
        <w:tblW w:w="7714"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34"/>
        <w:gridCol w:w="1056"/>
        <w:gridCol w:w="945"/>
        <w:gridCol w:w="785"/>
        <w:gridCol w:w="690"/>
        <w:gridCol w:w="912"/>
        <w:gridCol w:w="912"/>
        <w:gridCol w:w="590"/>
        <w:gridCol w:w="590"/>
      </w:tblGrid>
      <w:tr w:rsidR="007D404A" w:rsidTr="007D404A">
        <w:trPr>
          <w:trHeight w:val="255"/>
          <w:jc w:val="center"/>
        </w:trPr>
        <w:tc>
          <w:tcPr>
            <w:tcW w:w="1234" w:type="dxa"/>
            <w:tcBorders>
              <w:bottom w:val="single" w:sz="6" w:space="0" w:color="808080"/>
            </w:tcBorders>
            <w:vAlign w:val="bottom"/>
          </w:tcPr>
          <w:p w:rsidR="007D404A" w:rsidRDefault="007D404A" w:rsidP="00BE76E1">
            <w:pPr>
              <w:spacing w:after="0" w:line="240" w:lineRule="auto"/>
              <w:jc w:val="both"/>
              <w:rPr>
                <w:b/>
                <w:bCs/>
                <w:sz w:val="20"/>
              </w:rPr>
            </w:pPr>
          </w:p>
        </w:tc>
        <w:tc>
          <w:tcPr>
            <w:tcW w:w="1056" w:type="dxa"/>
            <w:tcBorders>
              <w:bottom w:val="single" w:sz="6" w:space="0" w:color="808080"/>
            </w:tcBorders>
            <w:vAlign w:val="bottom"/>
          </w:tcPr>
          <w:p w:rsidR="007D404A" w:rsidRDefault="007D404A" w:rsidP="00BE76E1">
            <w:pPr>
              <w:spacing w:after="0" w:line="240" w:lineRule="auto"/>
              <w:jc w:val="center"/>
              <w:rPr>
                <w:b/>
                <w:bCs/>
                <w:sz w:val="20"/>
              </w:rPr>
            </w:pPr>
            <w:r>
              <w:rPr>
                <w:b/>
                <w:bCs/>
                <w:sz w:val="20"/>
              </w:rPr>
              <w:t>Total Repayments</w:t>
            </w:r>
          </w:p>
        </w:tc>
        <w:tc>
          <w:tcPr>
            <w:tcW w:w="945" w:type="dxa"/>
            <w:tcBorders>
              <w:bottom w:val="single" w:sz="6" w:space="0" w:color="808080"/>
            </w:tcBorders>
            <w:noWrap/>
            <w:tcMar>
              <w:top w:w="20" w:type="dxa"/>
              <w:left w:w="20" w:type="dxa"/>
              <w:bottom w:w="0" w:type="dxa"/>
              <w:right w:w="20" w:type="dxa"/>
            </w:tcMar>
            <w:vAlign w:val="bottom"/>
          </w:tcPr>
          <w:p w:rsidR="007D404A" w:rsidRDefault="007D404A" w:rsidP="00BE76E1">
            <w:pPr>
              <w:spacing w:after="0" w:line="240" w:lineRule="auto"/>
              <w:jc w:val="center"/>
              <w:rPr>
                <w:b/>
                <w:bCs/>
                <w:sz w:val="20"/>
              </w:rPr>
            </w:pPr>
            <w:r>
              <w:rPr>
                <w:b/>
                <w:bCs/>
                <w:sz w:val="20"/>
              </w:rPr>
              <w:t>Cash</w:t>
            </w:r>
          </w:p>
        </w:tc>
        <w:tc>
          <w:tcPr>
            <w:tcW w:w="785" w:type="dxa"/>
            <w:tcBorders>
              <w:bottom w:val="single" w:sz="6" w:space="0" w:color="808080"/>
            </w:tcBorders>
            <w:noWrap/>
            <w:tcMar>
              <w:top w:w="20" w:type="dxa"/>
              <w:left w:w="20" w:type="dxa"/>
              <w:bottom w:w="0" w:type="dxa"/>
              <w:right w:w="20" w:type="dxa"/>
            </w:tcMar>
            <w:vAlign w:val="bottom"/>
          </w:tcPr>
          <w:p w:rsidR="007D404A" w:rsidRDefault="007D404A" w:rsidP="007D404A">
            <w:pPr>
              <w:spacing w:after="0" w:line="240" w:lineRule="auto"/>
              <w:jc w:val="center"/>
              <w:rPr>
                <w:b/>
                <w:bCs/>
                <w:sz w:val="20"/>
              </w:rPr>
            </w:pPr>
            <w:r>
              <w:rPr>
                <w:b/>
                <w:bCs/>
                <w:sz w:val="20"/>
              </w:rPr>
              <w:t>Personal Notes</w:t>
            </w:r>
          </w:p>
        </w:tc>
        <w:tc>
          <w:tcPr>
            <w:tcW w:w="690" w:type="dxa"/>
            <w:tcBorders>
              <w:bottom w:val="single" w:sz="6" w:space="0" w:color="808080"/>
            </w:tcBorders>
            <w:noWrap/>
            <w:tcMar>
              <w:top w:w="20" w:type="dxa"/>
              <w:left w:w="20" w:type="dxa"/>
              <w:bottom w:w="0" w:type="dxa"/>
              <w:right w:w="20" w:type="dxa"/>
            </w:tcMar>
            <w:vAlign w:val="bottom"/>
          </w:tcPr>
          <w:p w:rsidR="007D404A" w:rsidRDefault="00702BC3" w:rsidP="007D404A">
            <w:pPr>
              <w:spacing w:after="0" w:line="240" w:lineRule="auto"/>
              <w:jc w:val="center"/>
              <w:rPr>
                <w:b/>
                <w:bCs/>
                <w:sz w:val="20"/>
              </w:rPr>
            </w:pPr>
            <w:r>
              <w:rPr>
                <w:b/>
                <w:bCs/>
                <w:sz w:val="20"/>
              </w:rPr>
              <w:t>Third-party</w:t>
            </w:r>
            <w:r w:rsidR="007D404A">
              <w:rPr>
                <w:b/>
                <w:bCs/>
                <w:sz w:val="20"/>
              </w:rPr>
              <w:t xml:space="preserve"> Notes</w:t>
            </w:r>
          </w:p>
        </w:tc>
        <w:tc>
          <w:tcPr>
            <w:tcW w:w="912" w:type="dxa"/>
            <w:tcBorders>
              <w:bottom w:val="single" w:sz="6" w:space="0" w:color="808080"/>
            </w:tcBorders>
            <w:vAlign w:val="bottom"/>
          </w:tcPr>
          <w:p w:rsidR="007D404A" w:rsidRDefault="007D404A" w:rsidP="00A870ED">
            <w:pPr>
              <w:spacing w:after="0" w:line="240" w:lineRule="auto"/>
              <w:jc w:val="center"/>
              <w:rPr>
                <w:b/>
                <w:bCs/>
                <w:sz w:val="20"/>
              </w:rPr>
            </w:pPr>
            <w:r>
              <w:rPr>
                <w:b/>
                <w:bCs/>
                <w:sz w:val="20"/>
              </w:rPr>
              <w:t>Goods</w:t>
            </w:r>
          </w:p>
        </w:tc>
        <w:tc>
          <w:tcPr>
            <w:tcW w:w="912" w:type="dxa"/>
            <w:tcBorders>
              <w:bottom w:val="single" w:sz="6" w:space="0" w:color="808080"/>
            </w:tcBorders>
            <w:vAlign w:val="bottom"/>
          </w:tcPr>
          <w:p w:rsidR="007D404A" w:rsidRDefault="007D404A" w:rsidP="00BE76E1">
            <w:pPr>
              <w:spacing w:after="0" w:line="240" w:lineRule="auto"/>
              <w:jc w:val="center"/>
              <w:rPr>
                <w:b/>
                <w:bCs/>
                <w:sz w:val="20"/>
              </w:rPr>
            </w:pPr>
            <w:r>
              <w:rPr>
                <w:b/>
                <w:bCs/>
                <w:sz w:val="20"/>
              </w:rPr>
              <w:t>Reckoning</w:t>
            </w:r>
          </w:p>
        </w:tc>
        <w:tc>
          <w:tcPr>
            <w:tcW w:w="590" w:type="dxa"/>
            <w:tcBorders>
              <w:bottom w:val="single" w:sz="6" w:space="0" w:color="808080"/>
            </w:tcBorders>
            <w:vAlign w:val="bottom"/>
          </w:tcPr>
          <w:p w:rsidR="007D404A" w:rsidRDefault="007D404A" w:rsidP="00BE76E1">
            <w:pPr>
              <w:spacing w:after="0" w:line="240" w:lineRule="auto"/>
              <w:jc w:val="center"/>
              <w:rPr>
                <w:b/>
                <w:bCs/>
                <w:sz w:val="20"/>
              </w:rPr>
            </w:pPr>
            <w:r>
              <w:rPr>
                <w:b/>
                <w:bCs/>
                <w:sz w:val="20"/>
              </w:rPr>
              <w:t>Labor</w:t>
            </w:r>
          </w:p>
        </w:tc>
        <w:tc>
          <w:tcPr>
            <w:tcW w:w="590" w:type="dxa"/>
            <w:tcBorders>
              <w:bottom w:val="single" w:sz="6" w:space="0" w:color="808080"/>
            </w:tcBorders>
            <w:noWrap/>
            <w:tcMar>
              <w:top w:w="20" w:type="dxa"/>
              <w:left w:w="20" w:type="dxa"/>
              <w:bottom w:w="0" w:type="dxa"/>
              <w:right w:w="20" w:type="dxa"/>
            </w:tcMar>
            <w:vAlign w:val="bottom"/>
          </w:tcPr>
          <w:p w:rsidR="007D404A" w:rsidRDefault="007D404A" w:rsidP="00BE76E1">
            <w:pPr>
              <w:spacing w:after="0" w:line="240" w:lineRule="auto"/>
              <w:jc w:val="center"/>
              <w:rPr>
                <w:b/>
                <w:bCs/>
                <w:sz w:val="20"/>
              </w:rPr>
            </w:pPr>
            <w:r>
              <w:rPr>
                <w:b/>
                <w:bCs/>
                <w:sz w:val="20"/>
              </w:rPr>
              <w:t>Bond</w:t>
            </w:r>
          </w:p>
        </w:tc>
      </w:tr>
      <w:tr w:rsidR="007D404A" w:rsidTr="007D404A">
        <w:trPr>
          <w:trHeight w:val="255"/>
          <w:jc w:val="center"/>
        </w:trPr>
        <w:tc>
          <w:tcPr>
            <w:tcW w:w="1234" w:type="dxa"/>
            <w:tcBorders>
              <w:top w:val="single" w:sz="6" w:space="0" w:color="808080"/>
            </w:tcBorders>
            <w:vAlign w:val="bottom"/>
          </w:tcPr>
          <w:p w:rsidR="007D404A" w:rsidRDefault="007D404A" w:rsidP="00BE76E1">
            <w:pPr>
              <w:spacing w:after="0" w:line="240" w:lineRule="auto"/>
              <w:jc w:val="both"/>
              <w:rPr>
                <w:b/>
                <w:bCs/>
                <w:sz w:val="20"/>
              </w:rPr>
            </w:pPr>
            <w:r>
              <w:rPr>
                <w:b/>
                <w:bCs/>
                <w:sz w:val="20"/>
              </w:rPr>
              <w:t xml:space="preserve">Connecticut </w:t>
            </w:r>
          </w:p>
        </w:tc>
        <w:tc>
          <w:tcPr>
            <w:tcW w:w="1056" w:type="dxa"/>
            <w:tcBorders>
              <w:top w:val="single" w:sz="6" w:space="0" w:color="808080"/>
            </w:tcBorders>
            <w:vAlign w:val="bottom"/>
          </w:tcPr>
          <w:p w:rsidR="007D404A" w:rsidRDefault="007D404A" w:rsidP="00BE76E1">
            <w:pPr>
              <w:spacing w:after="0" w:line="240" w:lineRule="auto"/>
              <w:jc w:val="center"/>
              <w:rPr>
                <w:sz w:val="20"/>
              </w:rPr>
            </w:pPr>
            <w:r>
              <w:rPr>
                <w:sz w:val="20"/>
              </w:rPr>
              <w:t>1779 (100.0%)</w:t>
            </w:r>
          </w:p>
        </w:tc>
        <w:tc>
          <w:tcPr>
            <w:tcW w:w="945" w:type="dxa"/>
            <w:tcBorders>
              <w:top w:val="single" w:sz="6" w:space="0" w:color="808080"/>
            </w:tcBorders>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489 (27.5%)</w:t>
            </w:r>
          </w:p>
        </w:tc>
        <w:tc>
          <w:tcPr>
            <w:tcW w:w="785" w:type="dxa"/>
            <w:tcBorders>
              <w:top w:val="single" w:sz="6" w:space="0" w:color="808080"/>
            </w:tcBorders>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59 (3.3%)</w:t>
            </w:r>
          </w:p>
        </w:tc>
        <w:tc>
          <w:tcPr>
            <w:tcW w:w="690" w:type="dxa"/>
            <w:tcBorders>
              <w:top w:val="single" w:sz="6" w:space="0" w:color="808080"/>
            </w:tcBorders>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122 (6.9%)</w:t>
            </w:r>
          </w:p>
        </w:tc>
        <w:tc>
          <w:tcPr>
            <w:tcW w:w="912" w:type="dxa"/>
            <w:tcBorders>
              <w:top w:val="single" w:sz="6" w:space="0" w:color="808080"/>
            </w:tcBorders>
            <w:vAlign w:val="bottom"/>
          </w:tcPr>
          <w:p w:rsidR="007D404A" w:rsidRDefault="007D404A" w:rsidP="00A870ED">
            <w:pPr>
              <w:spacing w:after="0" w:line="240" w:lineRule="auto"/>
              <w:jc w:val="center"/>
              <w:rPr>
                <w:sz w:val="20"/>
              </w:rPr>
            </w:pPr>
            <w:r>
              <w:rPr>
                <w:sz w:val="20"/>
              </w:rPr>
              <w:t xml:space="preserve">816 </w:t>
            </w:r>
          </w:p>
          <w:p w:rsidR="007D404A" w:rsidRDefault="007D404A" w:rsidP="00A870ED">
            <w:pPr>
              <w:spacing w:after="0" w:line="240" w:lineRule="auto"/>
              <w:jc w:val="center"/>
              <w:rPr>
                <w:sz w:val="20"/>
              </w:rPr>
            </w:pPr>
            <w:r>
              <w:rPr>
                <w:sz w:val="20"/>
              </w:rPr>
              <w:t>(45.9%)</w:t>
            </w:r>
          </w:p>
        </w:tc>
        <w:tc>
          <w:tcPr>
            <w:tcW w:w="912" w:type="dxa"/>
            <w:tcBorders>
              <w:top w:val="single" w:sz="6" w:space="0" w:color="808080"/>
            </w:tcBorders>
            <w:vAlign w:val="bottom"/>
          </w:tcPr>
          <w:p w:rsidR="007D404A" w:rsidRDefault="007D404A" w:rsidP="00BE76E1">
            <w:pPr>
              <w:spacing w:after="0" w:line="240" w:lineRule="auto"/>
              <w:jc w:val="center"/>
              <w:rPr>
                <w:sz w:val="20"/>
              </w:rPr>
            </w:pPr>
            <w:r>
              <w:rPr>
                <w:sz w:val="20"/>
              </w:rPr>
              <w:t xml:space="preserve">134 </w:t>
            </w:r>
          </w:p>
          <w:p w:rsidR="007D404A" w:rsidRDefault="007D404A" w:rsidP="00BE76E1">
            <w:pPr>
              <w:spacing w:after="0" w:line="240" w:lineRule="auto"/>
              <w:jc w:val="center"/>
              <w:rPr>
                <w:sz w:val="20"/>
              </w:rPr>
            </w:pPr>
            <w:r>
              <w:rPr>
                <w:sz w:val="20"/>
              </w:rPr>
              <w:t>(7.5%)</w:t>
            </w:r>
          </w:p>
        </w:tc>
        <w:tc>
          <w:tcPr>
            <w:tcW w:w="590" w:type="dxa"/>
            <w:tcBorders>
              <w:top w:val="single" w:sz="6" w:space="0" w:color="808080"/>
            </w:tcBorders>
            <w:vAlign w:val="bottom"/>
          </w:tcPr>
          <w:p w:rsidR="007D404A" w:rsidRDefault="007D404A" w:rsidP="00BE76E1">
            <w:pPr>
              <w:spacing w:after="0" w:line="240" w:lineRule="auto"/>
              <w:jc w:val="center"/>
              <w:rPr>
                <w:sz w:val="20"/>
              </w:rPr>
            </w:pPr>
            <w:r>
              <w:rPr>
                <w:sz w:val="20"/>
              </w:rPr>
              <w:t>159 (8.9%)</w:t>
            </w:r>
          </w:p>
        </w:tc>
        <w:tc>
          <w:tcPr>
            <w:tcW w:w="590" w:type="dxa"/>
            <w:tcBorders>
              <w:top w:val="single" w:sz="6" w:space="0" w:color="808080"/>
            </w:tcBorders>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0 (0.0%)</w:t>
            </w:r>
          </w:p>
        </w:tc>
      </w:tr>
      <w:tr w:rsidR="007D404A" w:rsidTr="007D404A">
        <w:trPr>
          <w:trHeight w:val="255"/>
          <w:jc w:val="center"/>
        </w:trPr>
        <w:tc>
          <w:tcPr>
            <w:tcW w:w="1234" w:type="dxa"/>
            <w:vAlign w:val="bottom"/>
          </w:tcPr>
          <w:p w:rsidR="007D404A" w:rsidRDefault="007D404A" w:rsidP="00BE76E1">
            <w:pPr>
              <w:spacing w:after="0" w:line="240" w:lineRule="auto"/>
              <w:jc w:val="both"/>
              <w:rPr>
                <w:b/>
                <w:bCs/>
                <w:sz w:val="20"/>
              </w:rPr>
            </w:pPr>
            <w:r>
              <w:rPr>
                <w:b/>
                <w:bCs/>
                <w:sz w:val="20"/>
              </w:rPr>
              <w:t>Massachusetts</w:t>
            </w:r>
          </w:p>
        </w:tc>
        <w:tc>
          <w:tcPr>
            <w:tcW w:w="1056" w:type="dxa"/>
            <w:vAlign w:val="bottom"/>
          </w:tcPr>
          <w:p w:rsidR="007D404A" w:rsidRDefault="007D404A" w:rsidP="00BE76E1">
            <w:pPr>
              <w:spacing w:after="0" w:line="240" w:lineRule="auto"/>
              <w:jc w:val="center"/>
              <w:rPr>
                <w:sz w:val="20"/>
              </w:rPr>
            </w:pPr>
          </w:p>
          <w:p w:rsidR="007D404A" w:rsidRDefault="007D404A" w:rsidP="00BE76E1">
            <w:pPr>
              <w:spacing w:after="0" w:line="240" w:lineRule="auto"/>
              <w:jc w:val="center"/>
              <w:rPr>
                <w:sz w:val="20"/>
              </w:rPr>
            </w:pPr>
            <w:r>
              <w:rPr>
                <w:sz w:val="20"/>
              </w:rPr>
              <w:t>2520 (100.0%)</w:t>
            </w:r>
          </w:p>
        </w:tc>
        <w:tc>
          <w:tcPr>
            <w:tcW w:w="945"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621 (24.6%)</w:t>
            </w:r>
          </w:p>
        </w:tc>
        <w:tc>
          <w:tcPr>
            <w:tcW w:w="785"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72 (2.9%)</w:t>
            </w:r>
          </w:p>
        </w:tc>
        <w:tc>
          <w:tcPr>
            <w:tcW w:w="690"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350 (13.9%)</w:t>
            </w:r>
          </w:p>
        </w:tc>
        <w:tc>
          <w:tcPr>
            <w:tcW w:w="912" w:type="dxa"/>
            <w:vAlign w:val="bottom"/>
          </w:tcPr>
          <w:p w:rsidR="007D404A" w:rsidRDefault="007D404A" w:rsidP="00A870ED">
            <w:pPr>
              <w:spacing w:after="0" w:line="240" w:lineRule="auto"/>
              <w:jc w:val="center"/>
              <w:rPr>
                <w:sz w:val="20"/>
              </w:rPr>
            </w:pPr>
            <w:r>
              <w:rPr>
                <w:sz w:val="20"/>
              </w:rPr>
              <w:t>1219 (48.4%)</w:t>
            </w:r>
          </w:p>
        </w:tc>
        <w:tc>
          <w:tcPr>
            <w:tcW w:w="912" w:type="dxa"/>
            <w:vAlign w:val="bottom"/>
          </w:tcPr>
          <w:p w:rsidR="007D404A" w:rsidRDefault="007D404A" w:rsidP="00BE76E1">
            <w:pPr>
              <w:spacing w:after="0" w:line="240" w:lineRule="auto"/>
              <w:jc w:val="center"/>
              <w:rPr>
                <w:sz w:val="20"/>
              </w:rPr>
            </w:pPr>
            <w:r>
              <w:rPr>
                <w:sz w:val="20"/>
              </w:rPr>
              <w:t xml:space="preserve">193 </w:t>
            </w:r>
          </w:p>
          <w:p w:rsidR="007D404A" w:rsidRDefault="007D404A" w:rsidP="00BE76E1">
            <w:pPr>
              <w:spacing w:after="0" w:line="240" w:lineRule="auto"/>
              <w:jc w:val="center"/>
              <w:rPr>
                <w:sz w:val="20"/>
              </w:rPr>
            </w:pPr>
            <w:r>
              <w:rPr>
                <w:sz w:val="20"/>
              </w:rPr>
              <w:t>(7.7%)</w:t>
            </w:r>
          </w:p>
        </w:tc>
        <w:tc>
          <w:tcPr>
            <w:tcW w:w="590" w:type="dxa"/>
            <w:vAlign w:val="bottom"/>
          </w:tcPr>
          <w:p w:rsidR="007D404A" w:rsidRDefault="007D404A" w:rsidP="00BE76E1">
            <w:pPr>
              <w:spacing w:after="0" w:line="240" w:lineRule="auto"/>
              <w:jc w:val="center"/>
              <w:rPr>
                <w:sz w:val="20"/>
              </w:rPr>
            </w:pPr>
            <w:r>
              <w:rPr>
                <w:sz w:val="20"/>
              </w:rPr>
              <w:t>59 (2.3%)</w:t>
            </w:r>
          </w:p>
        </w:tc>
        <w:tc>
          <w:tcPr>
            <w:tcW w:w="590"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6 (0.2%)</w:t>
            </w:r>
          </w:p>
        </w:tc>
      </w:tr>
      <w:tr w:rsidR="007D404A" w:rsidTr="007D404A">
        <w:trPr>
          <w:trHeight w:val="255"/>
          <w:jc w:val="center"/>
        </w:trPr>
        <w:tc>
          <w:tcPr>
            <w:tcW w:w="1234" w:type="dxa"/>
            <w:vAlign w:val="bottom"/>
          </w:tcPr>
          <w:p w:rsidR="007D404A" w:rsidRDefault="007D404A" w:rsidP="00BE76E1">
            <w:pPr>
              <w:spacing w:after="0" w:line="240" w:lineRule="auto"/>
              <w:jc w:val="both"/>
              <w:rPr>
                <w:b/>
                <w:bCs/>
                <w:sz w:val="20"/>
              </w:rPr>
            </w:pPr>
            <w:r>
              <w:rPr>
                <w:b/>
                <w:bCs/>
                <w:sz w:val="20"/>
              </w:rPr>
              <w:t>Total</w:t>
            </w:r>
          </w:p>
        </w:tc>
        <w:tc>
          <w:tcPr>
            <w:tcW w:w="1056" w:type="dxa"/>
            <w:vAlign w:val="bottom"/>
          </w:tcPr>
          <w:p w:rsidR="007D404A" w:rsidRDefault="007D404A" w:rsidP="00BE76E1">
            <w:pPr>
              <w:spacing w:after="0" w:line="240" w:lineRule="auto"/>
              <w:jc w:val="center"/>
              <w:rPr>
                <w:sz w:val="20"/>
              </w:rPr>
            </w:pPr>
          </w:p>
          <w:p w:rsidR="007D404A" w:rsidRDefault="007D404A" w:rsidP="00BE76E1">
            <w:pPr>
              <w:spacing w:after="0" w:line="240" w:lineRule="auto"/>
              <w:jc w:val="center"/>
              <w:rPr>
                <w:sz w:val="20"/>
              </w:rPr>
            </w:pPr>
            <w:r>
              <w:rPr>
                <w:sz w:val="20"/>
              </w:rPr>
              <w:t>4299</w:t>
            </w:r>
          </w:p>
          <w:p w:rsidR="007D404A" w:rsidRDefault="007D404A" w:rsidP="00BE76E1">
            <w:pPr>
              <w:spacing w:after="0" w:line="240" w:lineRule="auto"/>
              <w:jc w:val="center"/>
              <w:rPr>
                <w:sz w:val="20"/>
              </w:rPr>
            </w:pPr>
            <w:r>
              <w:rPr>
                <w:sz w:val="20"/>
              </w:rPr>
              <w:t>(100.0%)</w:t>
            </w:r>
          </w:p>
        </w:tc>
        <w:tc>
          <w:tcPr>
            <w:tcW w:w="945"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1110 (25.8%)</w:t>
            </w:r>
          </w:p>
        </w:tc>
        <w:tc>
          <w:tcPr>
            <w:tcW w:w="785"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131 (3.0%)</w:t>
            </w:r>
          </w:p>
        </w:tc>
        <w:tc>
          <w:tcPr>
            <w:tcW w:w="690"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472 (11.0%)</w:t>
            </w:r>
          </w:p>
        </w:tc>
        <w:tc>
          <w:tcPr>
            <w:tcW w:w="912" w:type="dxa"/>
            <w:vAlign w:val="bottom"/>
          </w:tcPr>
          <w:p w:rsidR="007D404A" w:rsidRDefault="007D404A" w:rsidP="00A870ED">
            <w:pPr>
              <w:spacing w:after="0" w:line="240" w:lineRule="auto"/>
              <w:jc w:val="center"/>
              <w:rPr>
                <w:sz w:val="20"/>
              </w:rPr>
            </w:pPr>
            <w:r>
              <w:rPr>
                <w:sz w:val="20"/>
              </w:rPr>
              <w:t>2035 (47.3%)</w:t>
            </w:r>
          </w:p>
        </w:tc>
        <w:tc>
          <w:tcPr>
            <w:tcW w:w="912" w:type="dxa"/>
            <w:vAlign w:val="bottom"/>
          </w:tcPr>
          <w:p w:rsidR="007D404A" w:rsidRDefault="007D404A" w:rsidP="00BE76E1">
            <w:pPr>
              <w:spacing w:after="0" w:line="240" w:lineRule="auto"/>
              <w:jc w:val="center"/>
              <w:rPr>
                <w:sz w:val="20"/>
              </w:rPr>
            </w:pPr>
            <w:r>
              <w:rPr>
                <w:sz w:val="20"/>
              </w:rPr>
              <w:t>327</w:t>
            </w:r>
          </w:p>
          <w:p w:rsidR="007D404A" w:rsidRDefault="007D404A" w:rsidP="00BE76E1">
            <w:pPr>
              <w:spacing w:after="0" w:line="240" w:lineRule="auto"/>
              <w:jc w:val="center"/>
              <w:rPr>
                <w:sz w:val="20"/>
              </w:rPr>
            </w:pPr>
            <w:r>
              <w:rPr>
                <w:sz w:val="20"/>
              </w:rPr>
              <w:t xml:space="preserve"> (7.6%)</w:t>
            </w:r>
          </w:p>
        </w:tc>
        <w:tc>
          <w:tcPr>
            <w:tcW w:w="590" w:type="dxa"/>
            <w:vAlign w:val="bottom"/>
          </w:tcPr>
          <w:p w:rsidR="007D404A" w:rsidRDefault="007D404A" w:rsidP="00BE76E1">
            <w:pPr>
              <w:spacing w:after="0" w:line="240" w:lineRule="auto"/>
              <w:jc w:val="center"/>
              <w:rPr>
                <w:sz w:val="20"/>
              </w:rPr>
            </w:pPr>
            <w:r>
              <w:rPr>
                <w:sz w:val="20"/>
              </w:rPr>
              <w:t>218 (5.1%)</w:t>
            </w:r>
          </w:p>
        </w:tc>
        <w:tc>
          <w:tcPr>
            <w:tcW w:w="590" w:type="dxa"/>
            <w:noWrap/>
            <w:tcMar>
              <w:top w:w="20" w:type="dxa"/>
              <w:left w:w="20" w:type="dxa"/>
              <w:bottom w:w="0" w:type="dxa"/>
              <w:right w:w="20" w:type="dxa"/>
            </w:tcMar>
            <w:vAlign w:val="bottom"/>
          </w:tcPr>
          <w:p w:rsidR="007D404A" w:rsidRDefault="007D404A" w:rsidP="00BE76E1">
            <w:pPr>
              <w:spacing w:after="0" w:line="240" w:lineRule="auto"/>
              <w:jc w:val="center"/>
              <w:rPr>
                <w:sz w:val="20"/>
              </w:rPr>
            </w:pPr>
            <w:r>
              <w:rPr>
                <w:sz w:val="20"/>
              </w:rPr>
              <w:t>6 (0.1%)</w:t>
            </w:r>
          </w:p>
        </w:tc>
      </w:tr>
    </w:tbl>
    <w:p w:rsidR="00FF3560" w:rsidRDefault="00FF3560" w:rsidP="006B3FA8">
      <w:pPr>
        <w:spacing w:after="0" w:line="480" w:lineRule="auto"/>
        <w:jc w:val="both"/>
      </w:pPr>
    </w:p>
    <w:p w:rsidR="00A24AEB" w:rsidRDefault="00FF3560">
      <w:pPr>
        <w:sectPr w:rsidR="00A24AEB" w:rsidSect="00A24AEB">
          <w:endnotePr>
            <w:numFmt w:val="decimal"/>
          </w:endnotePr>
          <w:pgSz w:w="12240" w:h="15840"/>
          <w:pgMar w:top="1440" w:right="1440" w:bottom="1440" w:left="1440" w:header="720" w:footer="720" w:gutter="0"/>
          <w:cols w:space="720"/>
          <w:docGrid w:linePitch="360"/>
        </w:sectPr>
      </w:pPr>
      <w:r>
        <w:br w:type="page"/>
      </w:r>
    </w:p>
    <w:p w:rsidR="00CF209E" w:rsidRPr="00CF209E" w:rsidRDefault="00CF209E" w:rsidP="00FF3560">
      <w:pPr>
        <w:spacing w:after="0" w:line="480" w:lineRule="auto"/>
        <w:rPr>
          <w:rFonts w:cs="Times New Roman"/>
          <w:b/>
          <w:szCs w:val="24"/>
        </w:rPr>
      </w:pPr>
      <w:r w:rsidRPr="00CF209E">
        <w:rPr>
          <w:rFonts w:cs="Times New Roman"/>
          <w:b/>
          <w:szCs w:val="24"/>
        </w:rPr>
        <w:lastRenderedPageBreak/>
        <w:t>Table 3.  Summary Activity by Connecticut Merchants, in £ Lawful Money (1771)</w:t>
      </w:r>
    </w:p>
    <w:tbl>
      <w:tblPr>
        <w:tblW w:w="11242" w:type="dxa"/>
        <w:tblInd w:w="93" w:type="dxa"/>
        <w:tblLook w:val="04A0" w:firstRow="1" w:lastRow="0" w:firstColumn="1" w:lastColumn="0" w:noHBand="0" w:noVBand="1"/>
      </w:tblPr>
      <w:tblGrid>
        <w:gridCol w:w="1059"/>
        <w:gridCol w:w="1313"/>
        <w:gridCol w:w="869"/>
        <w:gridCol w:w="960"/>
        <w:gridCol w:w="876"/>
        <w:gridCol w:w="876"/>
        <w:gridCol w:w="1070"/>
        <w:gridCol w:w="1336"/>
        <w:gridCol w:w="1410"/>
        <w:gridCol w:w="737"/>
        <w:gridCol w:w="790"/>
      </w:tblGrid>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p>
        </w:tc>
        <w:tc>
          <w:tcPr>
            <w:tcW w:w="3142" w:type="dxa"/>
            <w:gridSpan w:val="3"/>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u w:val="single"/>
              </w:rPr>
            </w:pPr>
            <w:r w:rsidRPr="00CF209E">
              <w:rPr>
                <w:rFonts w:eastAsia="Times New Roman" w:cs="Times New Roman"/>
                <w:color w:val="000000"/>
                <w:sz w:val="22"/>
                <w:u w:val="single"/>
              </w:rPr>
              <w:t>Sales</w:t>
            </w:r>
          </w:p>
        </w:tc>
        <w:tc>
          <w:tcPr>
            <w:tcW w:w="7095" w:type="dxa"/>
            <w:gridSpan w:val="7"/>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u w:val="single"/>
              </w:rPr>
            </w:pPr>
            <w:r w:rsidRPr="00CF209E">
              <w:rPr>
                <w:rFonts w:eastAsia="Times New Roman" w:cs="Times New Roman"/>
                <w:color w:val="000000"/>
                <w:sz w:val="22"/>
                <w:u w:val="single"/>
              </w:rPr>
              <w:t>Repayments</w:t>
            </w:r>
          </w:p>
        </w:tc>
      </w:tr>
      <w:tr w:rsidR="00CF209E" w:rsidRPr="00CF209E" w:rsidTr="00CF209E">
        <w:trPr>
          <w:trHeight w:val="315"/>
        </w:trPr>
        <w:tc>
          <w:tcPr>
            <w:tcW w:w="1005"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Merchant</w:t>
            </w:r>
          </w:p>
        </w:tc>
        <w:tc>
          <w:tcPr>
            <w:tcW w:w="1313"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Credit</w:t>
            </w:r>
          </w:p>
        </w:tc>
        <w:tc>
          <w:tcPr>
            <w:tcW w:w="869"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Cash</w:t>
            </w:r>
          </w:p>
        </w:tc>
        <w:tc>
          <w:tcPr>
            <w:tcW w:w="960"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Barter</w:t>
            </w:r>
          </w:p>
        </w:tc>
        <w:tc>
          <w:tcPr>
            <w:tcW w:w="876"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Cash</w:t>
            </w:r>
          </w:p>
        </w:tc>
        <w:tc>
          <w:tcPr>
            <w:tcW w:w="876"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Goods</w:t>
            </w:r>
          </w:p>
        </w:tc>
        <w:tc>
          <w:tcPr>
            <w:tcW w:w="1070"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Personal</w:t>
            </w:r>
          </w:p>
        </w:tc>
        <w:tc>
          <w:tcPr>
            <w:tcW w:w="1336"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Reckoning</w:t>
            </w:r>
          </w:p>
        </w:tc>
        <w:tc>
          <w:tcPr>
            <w:tcW w:w="1410" w:type="dxa"/>
            <w:tcBorders>
              <w:top w:val="nil"/>
              <w:left w:val="nil"/>
              <w:bottom w:val="single" w:sz="4" w:space="0" w:color="auto"/>
              <w:right w:val="nil"/>
            </w:tcBorders>
            <w:shd w:val="clear" w:color="auto" w:fill="auto"/>
            <w:noWrap/>
            <w:vAlign w:val="bottom"/>
            <w:hideMark/>
          </w:tcPr>
          <w:p w:rsidR="00CF209E" w:rsidRPr="00CF209E" w:rsidRDefault="00702BC3" w:rsidP="00CF209E">
            <w:pPr>
              <w:spacing w:after="0" w:line="240" w:lineRule="auto"/>
              <w:jc w:val="center"/>
              <w:rPr>
                <w:rFonts w:eastAsia="Times New Roman" w:cs="Times New Roman"/>
                <w:color w:val="000000"/>
                <w:sz w:val="22"/>
              </w:rPr>
            </w:pPr>
            <w:r>
              <w:rPr>
                <w:rFonts w:eastAsia="Times New Roman" w:cs="Times New Roman"/>
                <w:color w:val="000000"/>
                <w:sz w:val="22"/>
              </w:rPr>
              <w:t>Third-party</w:t>
            </w:r>
          </w:p>
        </w:tc>
        <w:tc>
          <w:tcPr>
            <w:tcW w:w="737"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Bond</w:t>
            </w:r>
          </w:p>
        </w:tc>
        <w:tc>
          <w:tcPr>
            <w:tcW w:w="790" w:type="dxa"/>
            <w:tcBorders>
              <w:top w:val="nil"/>
              <w:left w:val="nil"/>
              <w:bottom w:val="single" w:sz="4" w:space="0" w:color="auto"/>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Labor</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16.072</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4.963</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10.779</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4.939</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2</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0.081</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0.139</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0.368</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3</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0.089</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0.000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0.000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0.004</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0.050</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3.346</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0.292</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4</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0.500</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0.518</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0.936</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18.588</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9.808</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2.307</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2.875</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5</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0.574</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6</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19.129</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2.802</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38.054</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40.669</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22.153</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11.378</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22.079</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1.108</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7</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0.304</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0.200</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1.125</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0.119</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8</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0.276</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0.176</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1.004</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6.824</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4.322</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9</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0.368</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1.068</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1.249</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5.697</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0.970</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0.155</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10</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0.318</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0.428</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0.175</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0.571</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0.423</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1.485</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1.645</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1.191</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0.180</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11</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0.401</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3.100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1.567</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4.312</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-0.040</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9.940</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0.278</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12</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0.154</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0.088</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0.250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1.009</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0.598</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0.087</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13</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0.413</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0.181</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0.610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1.008</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0.736</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3.332</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2.270</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2.592</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14</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0.557</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0.151</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15</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0.225</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0.477</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0.449</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0.702</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0.067</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1.685</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0.185</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16</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0.184</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0.026</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0.178</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17</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0.123</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0.028</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0.450</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0.533</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0.340</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0.072</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0.324</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18</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4.290</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0.750</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19</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1.100</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9.955</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2.466</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0.643</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7.798</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2.599</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1.590</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0.338</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20</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0.116</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0.409</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0.062</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21</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0.196</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0.202</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1.348</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22</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0.109</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0.202</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0.370</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0.605</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0.295</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0.387</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39</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0.465</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0.748</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0.067</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0.584</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0.425</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-0.142</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0.376</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0.300</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40</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0.508</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4.255</w:t>
            </w: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0.920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0.766</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1.430</w:t>
            </w: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1.871</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1.162</w:t>
            </w: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4.518</w:t>
            </w:r>
          </w:p>
        </w:tc>
      </w:tr>
      <w:tr w:rsidR="00CF209E" w:rsidRPr="00CF209E" w:rsidTr="00CF209E">
        <w:trPr>
          <w:trHeight w:val="315"/>
        </w:trPr>
        <w:tc>
          <w:tcPr>
            <w:tcW w:w="1005"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center"/>
              <w:rPr>
                <w:rFonts w:eastAsia="Times New Roman" w:cs="Times New Roman"/>
                <w:color w:val="000000"/>
                <w:sz w:val="22"/>
              </w:rPr>
            </w:pPr>
            <w:r w:rsidRPr="00CF209E">
              <w:rPr>
                <w:rFonts w:eastAsia="Times New Roman" w:cs="Times New Roman"/>
                <w:color w:val="000000"/>
                <w:sz w:val="22"/>
              </w:rPr>
              <w:t>41</w:t>
            </w:r>
          </w:p>
        </w:tc>
        <w:tc>
          <w:tcPr>
            <w:tcW w:w="1313"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0.018</w:t>
            </w:r>
          </w:p>
        </w:tc>
        <w:tc>
          <w:tcPr>
            <w:tcW w:w="869"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0.000</w:t>
            </w:r>
          </w:p>
        </w:tc>
        <w:tc>
          <w:tcPr>
            <w:tcW w:w="87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0.030</w:t>
            </w:r>
          </w:p>
        </w:tc>
        <w:tc>
          <w:tcPr>
            <w:tcW w:w="107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0.072</w:t>
            </w:r>
          </w:p>
        </w:tc>
        <w:tc>
          <w:tcPr>
            <w:tcW w:w="141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37"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rPr>
                <w:rFonts w:eastAsia="Times New Roman" w:cs="Times New Roman"/>
                <w:color w:val="000000"/>
                <w:sz w:val="22"/>
              </w:rPr>
            </w:pPr>
          </w:p>
        </w:tc>
        <w:tc>
          <w:tcPr>
            <w:tcW w:w="790" w:type="dxa"/>
            <w:tcBorders>
              <w:top w:val="nil"/>
              <w:left w:val="nil"/>
              <w:bottom w:val="nil"/>
              <w:right w:val="nil"/>
            </w:tcBorders>
            <w:shd w:val="clear" w:color="auto" w:fill="auto"/>
            <w:noWrap/>
            <w:vAlign w:val="bottom"/>
            <w:hideMark/>
          </w:tcPr>
          <w:p w:rsidR="00CF209E" w:rsidRPr="00CF209E" w:rsidRDefault="00CF209E" w:rsidP="00CF209E">
            <w:pPr>
              <w:spacing w:after="0" w:line="240" w:lineRule="auto"/>
              <w:jc w:val="right"/>
              <w:rPr>
                <w:rFonts w:eastAsia="Times New Roman" w:cs="Times New Roman"/>
                <w:color w:val="000000"/>
                <w:sz w:val="22"/>
              </w:rPr>
            </w:pPr>
            <w:r w:rsidRPr="00CF209E">
              <w:rPr>
                <w:rFonts w:eastAsia="Times New Roman" w:cs="Times New Roman"/>
                <w:color w:val="000000"/>
                <w:sz w:val="22"/>
              </w:rPr>
              <w:t>0.000</w:t>
            </w:r>
          </w:p>
        </w:tc>
      </w:tr>
    </w:tbl>
    <w:p w:rsidR="00CF209E" w:rsidRPr="00CF209E" w:rsidRDefault="00CF209E">
      <w:pPr>
        <w:rPr>
          <w:b/>
          <w:sz w:val="22"/>
        </w:rPr>
      </w:pPr>
      <w:r w:rsidRPr="00CF209E">
        <w:rPr>
          <w:b/>
          <w:sz w:val="22"/>
        </w:rPr>
        <w:br w:type="page"/>
      </w:r>
    </w:p>
    <w:p w:rsidR="00CF209E" w:rsidRDefault="00CF209E" w:rsidP="00FF3560">
      <w:pPr>
        <w:spacing w:after="0" w:line="480" w:lineRule="auto"/>
        <w:rPr>
          <w:b/>
        </w:rPr>
      </w:pPr>
      <w:r>
        <w:rPr>
          <w:b/>
        </w:rPr>
        <w:lastRenderedPageBreak/>
        <w:t xml:space="preserve">Table 4.  Summary Activity by Massachusetts Merchants, in </w:t>
      </w:r>
      <w:r>
        <w:rPr>
          <w:rFonts w:cs="Times New Roman"/>
          <w:b/>
        </w:rPr>
        <w:t>£</w:t>
      </w:r>
      <w:r>
        <w:rPr>
          <w:b/>
        </w:rPr>
        <w:t xml:space="preserve"> Lawful Money (1771)</w:t>
      </w:r>
    </w:p>
    <w:p w:rsidR="00A24AEB" w:rsidRDefault="00A24AEB" w:rsidP="00FF3560">
      <w:pPr>
        <w:spacing w:after="0" w:line="480" w:lineRule="auto"/>
        <w:rPr>
          <w:b/>
        </w:rPr>
      </w:pPr>
      <w:r>
        <w:rPr>
          <w:b/>
        </w:rPr>
        <w:t>Panel A</w:t>
      </w:r>
    </w:p>
    <w:tbl>
      <w:tblPr>
        <w:tblW w:w="11192" w:type="dxa"/>
        <w:tblInd w:w="93" w:type="dxa"/>
        <w:tblLook w:val="04A0" w:firstRow="1" w:lastRow="0" w:firstColumn="1" w:lastColumn="0" w:noHBand="0" w:noVBand="1"/>
      </w:tblPr>
      <w:tblGrid>
        <w:gridCol w:w="1059"/>
        <w:gridCol w:w="1095"/>
        <w:gridCol w:w="933"/>
        <w:gridCol w:w="933"/>
        <w:gridCol w:w="958"/>
        <w:gridCol w:w="821"/>
        <w:gridCol w:w="1013"/>
        <w:gridCol w:w="1265"/>
        <w:gridCol w:w="1336"/>
        <w:gridCol w:w="958"/>
        <w:gridCol w:w="821"/>
      </w:tblGrid>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p>
        </w:tc>
        <w:tc>
          <w:tcPr>
            <w:tcW w:w="2961" w:type="dxa"/>
            <w:gridSpan w:val="3"/>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u w:val="single"/>
              </w:rPr>
            </w:pPr>
            <w:r w:rsidRPr="00A24AEB">
              <w:rPr>
                <w:rFonts w:eastAsia="Times New Roman" w:cs="Times New Roman"/>
                <w:color w:val="000000"/>
                <w:sz w:val="22"/>
                <w:u w:val="single"/>
              </w:rPr>
              <w:t>Sales</w:t>
            </w:r>
          </w:p>
        </w:tc>
        <w:tc>
          <w:tcPr>
            <w:tcW w:w="7172" w:type="dxa"/>
            <w:gridSpan w:val="7"/>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u w:val="single"/>
              </w:rPr>
            </w:pPr>
            <w:r w:rsidRPr="00A24AEB">
              <w:rPr>
                <w:rFonts w:eastAsia="Times New Roman" w:cs="Times New Roman"/>
                <w:color w:val="000000"/>
                <w:sz w:val="22"/>
                <w:u w:val="single"/>
              </w:rPr>
              <w:t>Repayments</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Merchant</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Credit</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Cash</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Barter</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Cash</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Goods</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Personal</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Reckoning</w:t>
            </w:r>
          </w:p>
        </w:tc>
        <w:tc>
          <w:tcPr>
            <w:tcW w:w="1336" w:type="dxa"/>
            <w:tcBorders>
              <w:top w:val="nil"/>
              <w:left w:val="nil"/>
              <w:bottom w:val="nil"/>
              <w:right w:val="nil"/>
            </w:tcBorders>
            <w:shd w:val="clear" w:color="auto" w:fill="auto"/>
            <w:noWrap/>
            <w:vAlign w:val="bottom"/>
            <w:hideMark/>
          </w:tcPr>
          <w:p w:rsidR="00CF209E" w:rsidRPr="00A24AEB" w:rsidRDefault="00702BC3" w:rsidP="00CF209E">
            <w:pPr>
              <w:spacing w:after="0" w:line="240" w:lineRule="auto"/>
              <w:jc w:val="center"/>
              <w:rPr>
                <w:rFonts w:eastAsia="Times New Roman" w:cs="Times New Roman"/>
                <w:color w:val="000000"/>
                <w:sz w:val="22"/>
              </w:rPr>
            </w:pPr>
            <w:r>
              <w:rPr>
                <w:rFonts w:eastAsia="Times New Roman" w:cs="Times New Roman"/>
                <w:color w:val="000000"/>
                <w:sz w:val="22"/>
              </w:rPr>
              <w:t>Third-party</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Bond</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Labor</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23</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14.713</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27.275</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2.782</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76.561</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131.803</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31.468</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-51.520</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24</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1.943</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13.839</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-0.858</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78.306</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-4.094</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0.756</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25</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13.314</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26</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2.549</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6.354</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6.590</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2.104</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11.140</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1.680</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27</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4.493</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9.019</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12.703</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-1.000</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-1.222</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-0.832</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42.781</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28</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1.394</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0.447</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0.328</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11.239</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29</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40.547</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46.291</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97.132</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30</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4.710</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5.087</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10.134</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4.734</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31</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0.329</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0.421</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0.855</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1.319</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0.158</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32</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14.464</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6.362</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16.957</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6.357</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8.843</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69.994</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37.492</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50.727</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26.292</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3.792</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33</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2.389</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3.714</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2.646</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27.867</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2.006</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34</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117.695</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318.708</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81.418</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48.221</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490.986</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68.760</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149.813</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35</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1.192</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1.519</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35.443</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0.236</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36</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3.482</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3.067</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11.080</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14.179</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36.864</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37</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0.270</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0.734</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1.167</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0.055</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38</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5.161</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1.330</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1.363</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8.755</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11.212</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0.899</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6.268</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25.403</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42</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0.342</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43</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4.056</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2.760</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1.065</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9.286</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5.554</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9.634</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25.744</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4.174</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3.097</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0.308</w:t>
            </w:r>
          </w:p>
        </w:tc>
      </w:tr>
    </w:tbl>
    <w:p w:rsidR="00A24AEB" w:rsidRDefault="00A24AEB"/>
    <w:p w:rsidR="00A24AEB" w:rsidRDefault="00A24AEB"/>
    <w:p w:rsidR="00A24AEB" w:rsidRDefault="00A24AEB"/>
    <w:p w:rsidR="00A24AEB" w:rsidRDefault="00A24AEB"/>
    <w:p w:rsidR="00A24AEB" w:rsidRDefault="00A24AEB" w:rsidP="00A24AEB">
      <w:pPr>
        <w:spacing w:after="0" w:line="480" w:lineRule="auto"/>
        <w:rPr>
          <w:b/>
        </w:rPr>
      </w:pPr>
      <w:r>
        <w:rPr>
          <w:b/>
        </w:rPr>
        <w:lastRenderedPageBreak/>
        <w:t xml:space="preserve">Table 4.  Summary Activity by Massachusetts Merchants, in </w:t>
      </w:r>
      <w:r>
        <w:rPr>
          <w:rFonts w:cs="Times New Roman"/>
          <w:b/>
        </w:rPr>
        <w:t>£</w:t>
      </w:r>
      <w:r>
        <w:rPr>
          <w:b/>
        </w:rPr>
        <w:t xml:space="preserve"> Lawful Money (1771)</w:t>
      </w:r>
    </w:p>
    <w:p w:rsidR="00A24AEB" w:rsidRDefault="00A24AEB" w:rsidP="00A24AEB">
      <w:pPr>
        <w:spacing w:after="0" w:line="480" w:lineRule="auto"/>
        <w:rPr>
          <w:b/>
        </w:rPr>
      </w:pPr>
      <w:r>
        <w:rPr>
          <w:b/>
        </w:rPr>
        <w:t>Panel B</w:t>
      </w:r>
    </w:p>
    <w:p w:rsidR="00A24AEB" w:rsidRDefault="00A24AEB"/>
    <w:tbl>
      <w:tblPr>
        <w:tblW w:w="11192" w:type="dxa"/>
        <w:tblInd w:w="93" w:type="dxa"/>
        <w:tblLook w:val="04A0" w:firstRow="1" w:lastRow="0" w:firstColumn="1" w:lastColumn="0" w:noHBand="0" w:noVBand="1"/>
      </w:tblPr>
      <w:tblGrid>
        <w:gridCol w:w="1059"/>
        <w:gridCol w:w="1095"/>
        <w:gridCol w:w="933"/>
        <w:gridCol w:w="933"/>
        <w:gridCol w:w="958"/>
        <w:gridCol w:w="821"/>
        <w:gridCol w:w="1013"/>
        <w:gridCol w:w="1265"/>
        <w:gridCol w:w="1336"/>
        <w:gridCol w:w="958"/>
        <w:gridCol w:w="821"/>
      </w:tblGrid>
      <w:tr w:rsidR="00A24AEB" w:rsidRPr="00A24AEB" w:rsidTr="001B751D">
        <w:trPr>
          <w:trHeight w:val="315"/>
        </w:trPr>
        <w:tc>
          <w:tcPr>
            <w:tcW w:w="1059"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p>
        </w:tc>
        <w:tc>
          <w:tcPr>
            <w:tcW w:w="2961" w:type="dxa"/>
            <w:gridSpan w:val="3"/>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u w:val="single"/>
              </w:rPr>
            </w:pPr>
            <w:r w:rsidRPr="00A24AEB">
              <w:rPr>
                <w:rFonts w:eastAsia="Times New Roman" w:cs="Times New Roman"/>
                <w:color w:val="000000"/>
                <w:sz w:val="22"/>
                <w:u w:val="single"/>
              </w:rPr>
              <w:t>Sales</w:t>
            </w:r>
          </w:p>
        </w:tc>
        <w:tc>
          <w:tcPr>
            <w:tcW w:w="7172" w:type="dxa"/>
            <w:gridSpan w:val="7"/>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u w:val="single"/>
              </w:rPr>
            </w:pPr>
            <w:r w:rsidRPr="00A24AEB">
              <w:rPr>
                <w:rFonts w:eastAsia="Times New Roman" w:cs="Times New Roman"/>
                <w:color w:val="000000"/>
                <w:sz w:val="22"/>
                <w:u w:val="single"/>
              </w:rPr>
              <w:t>Repayments</w:t>
            </w:r>
          </w:p>
        </w:tc>
      </w:tr>
      <w:tr w:rsidR="00A24AEB" w:rsidRPr="00A24AEB" w:rsidTr="001B751D">
        <w:trPr>
          <w:trHeight w:val="315"/>
        </w:trPr>
        <w:tc>
          <w:tcPr>
            <w:tcW w:w="1059"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Merchant</w:t>
            </w:r>
          </w:p>
        </w:tc>
        <w:tc>
          <w:tcPr>
            <w:tcW w:w="1095"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Credit</w:t>
            </w:r>
          </w:p>
        </w:tc>
        <w:tc>
          <w:tcPr>
            <w:tcW w:w="933"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Cash</w:t>
            </w:r>
          </w:p>
        </w:tc>
        <w:tc>
          <w:tcPr>
            <w:tcW w:w="933"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Barter</w:t>
            </w:r>
          </w:p>
        </w:tc>
        <w:tc>
          <w:tcPr>
            <w:tcW w:w="958"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Cash</w:t>
            </w:r>
          </w:p>
        </w:tc>
        <w:tc>
          <w:tcPr>
            <w:tcW w:w="821"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Goods</w:t>
            </w:r>
          </w:p>
        </w:tc>
        <w:tc>
          <w:tcPr>
            <w:tcW w:w="1013"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Personal</w:t>
            </w:r>
          </w:p>
        </w:tc>
        <w:tc>
          <w:tcPr>
            <w:tcW w:w="1265"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Reckoning</w:t>
            </w:r>
          </w:p>
        </w:tc>
        <w:tc>
          <w:tcPr>
            <w:tcW w:w="1336" w:type="dxa"/>
            <w:tcBorders>
              <w:top w:val="nil"/>
              <w:left w:val="nil"/>
              <w:bottom w:val="nil"/>
              <w:right w:val="nil"/>
            </w:tcBorders>
            <w:shd w:val="clear" w:color="auto" w:fill="auto"/>
            <w:noWrap/>
            <w:vAlign w:val="bottom"/>
            <w:hideMark/>
          </w:tcPr>
          <w:p w:rsidR="00A24AEB" w:rsidRPr="00A24AEB" w:rsidRDefault="00702BC3" w:rsidP="001B751D">
            <w:pPr>
              <w:spacing w:after="0" w:line="240" w:lineRule="auto"/>
              <w:jc w:val="center"/>
              <w:rPr>
                <w:rFonts w:eastAsia="Times New Roman" w:cs="Times New Roman"/>
                <w:color w:val="000000"/>
                <w:sz w:val="22"/>
              </w:rPr>
            </w:pPr>
            <w:r>
              <w:rPr>
                <w:rFonts w:eastAsia="Times New Roman" w:cs="Times New Roman"/>
                <w:color w:val="000000"/>
                <w:sz w:val="22"/>
              </w:rPr>
              <w:t>Third-party</w:t>
            </w:r>
          </w:p>
        </w:tc>
        <w:tc>
          <w:tcPr>
            <w:tcW w:w="958"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Bond</w:t>
            </w:r>
          </w:p>
        </w:tc>
        <w:tc>
          <w:tcPr>
            <w:tcW w:w="821" w:type="dxa"/>
            <w:tcBorders>
              <w:top w:val="nil"/>
              <w:left w:val="nil"/>
              <w:bottom w:val="nil"/>
              <w:right w:val="nil"/>
            </w:tcBorders>
            <w:shd w:val="clear" w:color="auto" w:fill="auto"/>
            <w:noWrap/>
            <w:vAlign w:val="bottom"/>
            <w:hideMark/>
          </w:tcPr>
          <w:p w:rsidR="00A24AEB" w:rsidRPr="00A24AEB" w:rsidRDefault="00A24AEB" w:rsidP="001B751D">
            <w:pPr>
              <w:spacing w:after="0" w:line="240" w:lineRule="auto"/>
              <w:jc w:val="center"/>
              <w:rPr>
                <w:rFonts w:eastAsia="Times New Roman" w:cs="Times New Roman"/>
                <w:color w:val="000000"/>
                <w:sz w:val="22"/>
              </w:rPr>
            </w:pPr>
            <w:r w:rsidRPr="00A24AEB">
              <w:rPr>
                <w:rFonts w:eastAsia="Times New Roman" w:cs="Times New Roman"/>
                <w:color w:val="000000"/>
                <w:sz w:val="22"/>
              </w:rPr>
              <w:t>Labor</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44</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6.792</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45</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124.744</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14.865</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1.696</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72.260</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41.292</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25.275</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515.785</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48.578</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46</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4.137</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8.108</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22.685</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32.294</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5.263</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47</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0.094</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2.679</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48</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1.982</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1.389</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0.442</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2.774</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2.905</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2.448</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9.355</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1.259</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2.942</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49</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0.889</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0.875</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0.591</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1.885</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0.939</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9.337</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50</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1.476</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0.020</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2.473</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1.351</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2.297</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1.343</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3.680</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51</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0.040</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0.037</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0.701</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-1.955</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0.187</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52</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0.236</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53</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0.149</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0.117</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0.099</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0.506</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0.006</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0.000</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0.054</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54</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1.963</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1.582</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1.609</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-0.178</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2.469</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1.227</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55</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1.865</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15.773</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8.147</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2.474</w:t>
            </w:r>
          </w:p>
        </w:tc>
      </w:tr>
      <w:tr w:rsidR="00CF209E" w:rsidRPr="00A24AEB" w:rsidTr="00A24AEB">
        <w:trPr>
          <w:trHeight w:val="315"/>
        </w:trPr>
        <w:tc>
          <w:tcPr>
            <w:tcW w:w="1059"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center"/>
              <w:rPr>
                <w:rFonts w:eastAsia="Times New Roman" w:cs="Times New Roman"/>
                <w:color w:val="000000"/>
                <w:sz w:val="22"/>
              </w:rPr>
            </w:pPr>
            <w:r w:rsidRPr="00A24AEB">
              <w:rPr>
                <w:rFonts w:eastAsia="Times New Roman" w:cs="Times New Roman"/>
                <w:color w:val="000000"/>
                <w:sz w:val="22"/>
              </w:rPr>
              <w:t>56</w:t>
            </w:r>
          </w:p>
        </w:tc>
        <w:tc>
          <w:tcPr>
            <w:tcW w:w="109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3.998</w:t>
            </w: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3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3.503</w:t>
            </w: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5.814</w:t>
            </w:r>
          </w:p>
        </w:tc>
        <w:tc>
          <w:tcPr>
            <w:tcW w:w="1013"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7.217</w:t>
            </w:r>
          </w:p>
        </w:tc>
        <w:tc>
          <w:tcPr>
            <w:tcW w:w="1265"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-0.996</w:t>
            </w:r>
          </w:p>
        </w:tc>
        <w:tc>
          <w:tcPr>
            <w:tcW w:w="1336"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2.134</w:t>
            </w:r>
          </w:p>
        </w:tc>
        <w:tc>
          <w:tcPr>
            <w:tcW w:w="958"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rPr>
                <w:rFonts w:eastAsia="Times New Roman" w:cs="Times New Roman"/>
                <w:color w:val="000000"/>
                <w:sz w:val="22"/>
              </w:rPr>
            </w:pPr>
          </w:p>
        </w:tc>
        <w:tc>
          <w:tcPr>
            <w:tcW w:w="821" w:type="dxa"/>
            <w:tcBorders>
              <w:top w:val="nil"/>
              <w:left w:val="nil"/>
              <w:bottom w:val="nil"/>
              <w:right w:val="nil"/>
            </w:tcBorders>
            <w:shd w:val="clear" w:color="auto" w:fill="auto"/>
            <w:noWrap/>
            <w:vAlign w:val="bottom"/>
            <w:hideMark/>
          </w:tcPr>
          <w:p w:rsidR="00CF209E" w:rsidRPr="00A24AEB" w:rsidRDefault="00CF209E" w:rsidP="00CF209E">
            <w:pPr>
              <w:spacing w:after="0" w:line="240" w:lineRule="auto"/>
              <w:jc w:val="right"/>
              <w:rPr>
                <w:rFonts w:eastAsia="Times New Roman" w:cs="Times New Roman"/>
                <w:color w:val="000000"/>
                <w:sz w:val="22"/>
              </w:rPr>
            </w:pPr>
            <w:r w:rsidRPr="00A24AEB">
              <w:rPr>
                <w:rFonts w:eastAsia="Times New Roman" w:cs="Times New Roman"/>
                <w:color w:val="000000"/>
                <w:sz w:val="22"/>
              </w:rPr>
              <w:t>0.615</w:t>
            </w:r>
          </w:p>
        </w:tc>
      </w:tr>
    </w:tbl>
    <w:p w:rsidR="00A24AEB" w:rsidRDefault="00CF209E">
      <w:pPr>
        <w:rPr>
          <w:b/>
          <w:sz w:val="22"/>
        </w:rPr>
        <w:sectPr w:rsidR="00A24AEB" w:rsidSect="00A24AEB">
          <w:endnotePr>
            <w:numFmt w:val="decimal"/>
          </w:endnotePr>
          <w:pgSz w:w="15840" w:h="12240" w:orient="landscape"/>
          <w:pgMar w:top="1440" w:right="1440" w:bottom="1440" w:left="1440" w:header="720" w:footer="720" w:gutter="0"/>
          <w:cols w:space="720"/>
          <w:docGrid w:linePitch="360"/>
        </w:sectPr>
      </w:pPr>
      <w:r w:rsidRPr="00A24AEB">
        <w:rPr>
          <w:b/>
          <w:sz w:val="22"/>
        </w:rPr>
        <w:br w:type="page"/>
      </w:r>
    </w:p>
    <w:p w:rsidR="00CF209E" w:rsidRPr="00A24AEB" w:rsidRDefault="00CF209E">
      <w:pPr>
        <w:rPr>
          <w:b/>
          <w:sz w:val="22"/>
        </w:rPr>
      </w:pPr>
    </w:p>
    <w:p w:rsidR="00FF3560" w:rsidRDefault="00FF3560" w:rsidP="00FF3560">
      <w:pPr>
        <w:spacing w:after="0" w:line="480" w:lineRule="auto"/>
        <w:rPr>
          <w:b/>
        </w:rPr>
      </w:pPr>
      <w:r>
        <w:rPr>
          <w:b/>
        </w:rPr>
        <w:t>T</w:t>
      </w:r>
      <w:r w:rsidRPr="00AC554D">
        <w:rPr>
          <w:b/>
        </w:rPr>
        <w:t xml:space="preserve">able </w:t>
      </w:r>
      <w:r w:rsidR="00775769">
        <w:rPr>
          <w:b/>
        </w:rPr>
        <w:t>5</w:t>
      </w:r>
      <w:r>
        <w:rPr>
          <w:b/>
        </w:rPr>
        <w:t xml:space="preserve">.  </w:t>
      </w:r>
    </w:p>
    <w:p w:rsidR="00FF3560" w:rsidRPr="00AC554D" w:rsidRDefault="00FF3560" w:rsidP="00FF3560">
      <w:pPr>
        <w:spacing w:after="0" w:line="480" w:lineRule="auto"/>
        <w:rPr>
          <w:b/>
        </w:rPr>
      </w:pPr>
      <w:r>
        <w:rPr>
          <w:b/>
        </w:rPr>
        <w:t xml:space="preserve">Average </w:t>
      </w:r>
      <w:r w:rsidRPr="00AC554D">
        <w:rPr>
          <w:b/>
        </w:rPr>
        <w:t xml:space="preserve">Recorded Sale </w:t>
      </w:r>
      <w:r>
        <w:rPr>
          <w:b/>
        </w:rPr>
        <w:t>b</w:t>
      </w:r>
      <w:r w:rsidRPr="00AC554D">
        <w:rPr>
          <w:b/>
        </w:rPr>
        <w:t>y Category</w:t>
      </w:r>
      <w:r>
        <w:rPr>
          <w:b/>
        </w:rPr>
        <w:t xml:space="preserve">, in </w:t>
      </w:r>
      <w:r>
        <w:rPr>
          <w:rFonts w:cs="Times New Roman"/>
          <w:b/>
        </w:rPr>
        <w:t>£</w:t>
      </w:r>
      <w:r>
        <w:rPr>
          <w:b/>
        </w:rPr>
        <w:t xml:space="preserve"> Lawful Money (1771)</w:t>
      </w:r>
    </w:p>
    <w:p w:rsidR="00FF3560" w:rsidRPr="00AC554D" w:rsidRDefault="00FF3560" w:rsidP="00FF3560">
      <w:pPr>
        <w:spacing w:after="0" w:line="480" w:lineRule="auto"/>
        <w:jc w:val="both"/>
      </w:pPr>
    </w:p>
    <w:tbl>
      <w:tblPr>
        <w:tblW w:w="4264"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74"/>
        <w:gridCol w:w="858"/>
        <w:gridCol w:w="720"/>
        <w:gridCol w:w="630"/>
        <w:gridCol w:w="782"/>
      </w:tblGrid>
      <w:tr w:rsidR="00FF3560" w:rsidTr="00FF3560">
        <w:trPr>
          <w:trHeight w:val="255"/>
          <w:jc w:val="center"/>
        </w:trPr>
        <w:tc>
          <w:tcPr>
            <w:tcW w:w="1274" w:type="dxa"/>
            <w:tcBorders>
              <w:bottom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both"/>
              <w:rPr>
                <w:b/>
                <w:bCs/>
                <w:sz w:val="20"/>
              </w:rPr>
            </w:pPr>
          </w:p>
        </w:tc>
        <w:tc>
          <w:tcPr>
            <w:tcW w:w="858" w:type="dxa"/>
            <w:tcBorders>
              <w:bottom w:val="single" w:sz="6" w:space="0" w:color="808080"/>
            </w:tcBorders>
            <w:noWrap/>
            <w:tcMar>
              <w:top w:w="20" w:type="dxa"/>
              <w:left w:w="20" w:type="dxa"/>
              <w:bottom w:w="0" w:type="dxa"/>
              <w:right w:w="20" w:type="dxa"/>
            </w:tcMar>
            <w:vAlign w:val="bottom"/>
          </w:tcPr>
          <w:p w:rsidR="00FF3560" w:rsidRDefault="00FF3560" w:rsidP="00FF3560">
            <w:pPr>
              <w:spacing w:after="0" w:line="240" w:lineRule="auto"/>
              <w:jc w:val="center"/>
              <w:rPr>
                <w:b/>
                <w:bCs/>
                <w:sz w:val="20"/>
              </w:rPr>
            </w:pPr>
            <w:r>
              <w:rPr>
                <w:b/>
                <w:bCs/>
                <w:sz w:val="20"/>
              </w:rPr>
              <w:t>Overall</w:t>
            </w:r>
          </w:p>
        </w:tc>
        <w:tc>
          <w:tcPr>
            <w:tcW w:w="720" w:type="dxa"/>
            <w:tcBorders>
              <w:bottom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b/>
                <w:bCs/>
                <w:sz w:val="20"/>
              </w:rPr>
            </w:pPr>
            <w:r>
              <w:rPr>
                <w:b/>
                <w:bCs/>
                <w:sz w:val="20"/>
              </w:rPr>
              <w:t>Credit</w:t>
            </w:r>
          </w:p>
        </w:tc>
        <w:tc>
          <w:tcPr>
            <w:tcW w:w="630" w:type="dxa"/>
            <w:tcBorders>
              <w:bottom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b/>
                <w:bCs/>
                <w:sz w:val="20"/>
              </w:rPr>
            </w:pPr>
            <w:r>
              <w:rPr>
                <w:b/>
                <w:bCs/>
                <w:sz w:val="20"/>
              </w:rPr>
              <w:t>Cash</w:t>
            </w:r>
          </w:p>
        </w:tc>
        <w:tc>
          <w:tcPr>
            <w:tcW w:w="782" w:type="dxa"/>
            <w:tcBorders>
              <w:bottom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b/>
                <w:bCs/>
                <w:sz w:val="20"/>
              </w:rPr>
            </w:pPr>
            <w:r>
              <w:rPr>
                <w:b/>
                <w:bCs/>
                <w:sz w:val="20"/>
              </w:rPr>
              <w:t>Barter</w:t>
            </w:r>
          </w:p>
        </w:tc>
      </w:tr>
      <w:tr w:rsidR="00FF3560" w:rsidTr="00FF3560">
        <w:trPr>
          <w:trHeight w:val="255"/>
          <w:jc w:val="center"/>
        </w:trPr>
        <w:tc>
          <w:tcPr>
            <w:tcW w:w="1274" w:type="dxa"/>
            <w:tcBorders>
              <w:top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both"/>
              <w:rPr>
                <w:b/>
                <w:bCs/>
                <w:sz w:val="20"/>
              </w:rPr>
            </w:pPr>
          </w:p>
          <w:p w:rsidR="00FF3560" w:rsidRDefault="00FF3560" w:rsidP="00A870ED">
            <w:pPr>
              <w:spacing w:after="0" w:line="240" w:lineRule="auto"/>
              <w:jc w:val="both"/>
              <w:rPr>
                <w:b/>
                <w:bCs/>
                <w:sz w:val="20"/>
              </w:rPr>
            </w:pPr>
            <w:r>
              <w:rPr>
                <w:b/>
                <w:bCs/>
                <w:sz w:val="20"/>
              </w:rPr>
              <w:t xml:space="preserve">Connecticut  </w:t>
            </w:r>
          </w:p>
          <w:p w:rsidR="00FF3560" w:rsidRDefault="00FF3560" w:rsidP="00A870ED">
            <w:pPr>
              <w:spacing w:after="0" w:line="240" w:lineRule="auto"/>
              <w:jc w:val="both"/>
              <w:rPr>
                <w:b/>
                <w:bCs/>
                <w:sz w:val="20"/>
              </w:rPr>
            </w:pPr>
          </w:p>
        </w:tc>
        <w:tc>
          <w:tcPr>
            <w:tcW w:w="858" w:type="dxa"/>
            <w:tcBorders>
              <w:top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1.123</w:t>
            </w:r>
          </w:p>
          <w:p w:rsidR="00FF3560" w:rsidRDefault="00FF3560" w:rsidP="00A870ED">
            <w:pPr>
              <w:spacing w:after="0" w:line="240" w:lineRule="auto"/>
              <w:jc w:val="center"/>
              <w:rPr>
                <w:sz w:val="20"/>
              </w:rPr>
            </w:pPr>
          </w:p>
        </w:tc>
        <w:tc>
          <w:tcPr>
            <w:tcW w:w="720" w:type="dxa"/>
            <w:tcBorders>
              <w:top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1.097</w:t>
            </w:r>
          </w:p>
          <w:p w:rsidR="00FF3560" w:rsidRDefault="00FF3560" w:rsidP="00A870ED">
            <w:pPr>
              <w:spacing w:after="0" w:line="240" w:lineRule="auto"/>
              <w:jc w:val="center"/>
              <w:rPr>
                <w:sz w:val="20"/>
              </w:rPr>
            </w:pPr>
          </w:p>
        </w:tc>
        <w:tc>
          <w:tcPr>
            <w:tcW w:w="630" w:type="dxa"/>
            <w:tcBorders>
              <w:top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3.252</w:t>
            </w:r>
          </w:p>
          <w:p w:rsidR="00FF3560" w:rsidRDefault="00FF3560" w:rsidP="00A870ED">
            <w:pPr>
              <w:spacing w:after="0" w:line="240" w:lineRule="auto"/>
              <w:jc w:val="center"/>
              <w:rPr>
                <w:sz w:val="20"/>
              </w:rPr>
            </w:pPr>
          </w:p>
        </w:tc>
        <w:tc>
          <w:tcPr>
            <w:tcW w:w="782" w:type="dxa"/>
            <w:tcBorders>
              <w:top w:val="single" w:sz="6" w:space="0" w:color="808080"/>
            </w:tcBorders>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1.960</w:t>
            </w:r>
          </w:p>
          <w:p w:rsidR="00FF3560" w:rsidRDefault="00FF3560" w:rsidP="00A870ED">
            <w:pPr>
              <w:spacing w:after="0" w:line="240" w:lineRule="auto"/>
              <w:jc w:val="center"/>
              <w:rPr>
                <w:sz w:val="20"/>
              </w:rPr>
            </w:pPr>
          </w:p>
        </w:tc>
      </w:tr>
      <w:tr w:rsidR="00FF3560" w:rsidTr="00FF3560">
        <w:trPr>
          <w:trHeight w:val="255"/>
          <w:jc w:val="center"/>
        </w:trPr>
        <w:tc>
          <w:tcPr>
            <w:tcW w:w="1274" w:type="dxa"/>
            <w:noWrap/>
            <w:tcMar>
              <w:top w:w="20" w:type="dxa"/>
              <w:left w:w="20" w:type="dxa"/>
              <w:bottom w:w="0" w:type="dxa"/>
              <w:right w:w="20" w:type="dxa"/>
            </w:tcMar>
            <w:vAlign w:val="bottom"/>
          </w:tcPr>
          <w:p w:rsidR="00FF3560" w:rsidRDefault="00FF3560" w:rsidP="00A870ED">
            <w:pPr>
              <w:spacing w:after="0" w:line="240" w:lineRule="auto"/>
              <w:jc w:val="both"/>
              <w:rPr>
                <w:b/>
                <w:bCs/>
                <w:sz w:val="20"/>
              </w:rPr>
            </w:pPr>
            <w:r>
              <w:rPr>
                <w:b/>
                <w:bCs/>
                <w:sz w:val="20"/>
              </w:rPr>
              <w:t>Massachusetts</w:t>
            </w:r>
          </w:p>
          <w:p w:rsidR="00FF3560" w:rsidRDefault="00FF3560" w:rsidP="00A870ED">
            <w:pPr>
              <w:spacing w:after="0" w:line="240" w:lineRule="auto"/>
              <w:jc w:val="both"/>
              <w:rPr>
                <w:b/>
                <w:bCs/>
                <w:sz w:val="20"/>
              </w:rPr>
            </w:pPr>
          </w:p>
        </w:tc>
        <w:tc>
          <w:tcPr>
            <w:tcW w:w="858" w:type="dxa"/>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13.733</w:t>
            </w:r>
          </w:p>
          <w:p w:rsidR="00FF3560" w:rsidRDefault="00FF3560" w:rsidP="00A870ED">
            <w:pPr>
              <w:spacing w:after="0" w:line="240" w:lineRule="auto"/>
              <w:jc w:val="center"/>
              <w:rPr>
                <w:sz w:val="20"/>
              </w:rPr>
            </w:pPr>
          </w:p>
        </w:tc>
        <w:tc>
          <w:tcPr>
            <w:tcW w:w="720" w:type="dxa"/>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13.896</w:t>
            </w:r>
          </w:p>
          <w:p w:rsidR="00FF3560" w:rsidRDefault="00FF3560" w:rsidP="00A870ED">
            <w:pPr>
              <w:spacing w:after="0" w:line="240" w:lineRule="auto"/>
              <w:jc w:val="center"/>
              <w:rPr>
                <w:sz w:val="20"/>
              </w:rPr>
            </w:pPr>
          </w:p>
        </w:tc>
        <w:tc>
          <w:tcPr>
            <w:tcW w:w="630" w:type="dxa"/>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4.638</w:t>
            </w:r>
          </w:p>
          <w:p w:rsidR="00FF3560" w:rsidRDefault="00FF3560" w:rsidP="00A870ED">
            <w:pPr>
              <w:spacing w:after="0" w:line="240" w:lineRule="auto"/>
              <w:jc w:val="center"/>
              <w:rPr>
                <w:sz w:val="20"/>
              </w:rPr>
            </w:pPr>
          </w:p>
        </w:tc>
        <w:tc>
          <w:tcPr>
            <w:tcW w:w="782" w:type="dxa"/>
            <w:noWrap/>
            <w:tcMar>
              <w:top w:w="20" w:type="dxa"/>
              <w:left w:w="20" w:type="dxa"/>
              <w:bottom w:w="0" w:type="dxa"/>
              <w:right w:w="20" w:type="dxa"/>
            </w:tcMar>
            <w:vAlign w:val="bottom"/>
          </w:tcPr>
          <w:p w:rsidR="00FF3560" w:rsidRDefault="00FF3560" w:rsidP="00A870ED">
            <w:pPr>
              <w:spacing w:after="0" w:line="240" w:lineRule="auto"/>
              <w:jc w:val="center"/>
              <w:rPr>
                <w:sz w:val="20"/>
              </w:rPr>
            </w:pPr>
            <w:r>
              <w:rPr>
                <w:sz w:val="20"/>
              </w:rPr>
              <w:t>5.920</w:t>
            </w:r>
          </w:p>
          <w:p w:rsidR="00FF3560" w:rsidRDefault="00FF3560" w:rsidP="00A870ED">
            <w:pPr>
              <w:spacing w:after="0" w:line="240" w:lineRule="auto"/>
              <w:jc w:val="center"/>
              <w:rPr>
                <w:sz w:val="20"/>
              </w:rPr>
            </w:pPr>
          </w:p>
        </w:tc>
      </w:tr>
    </w:tbl>
    <w:p w:rsidR="00FF3560" w:rsidRDefault="00FF3560" w:rsidP="00FF3560">
      <w:pPr>
        <w:spacing w:after="0" w:line="480" w:lineRule="auto"/>
        <w:jc w:val="both"/>
      </w:pPr>
    </w:p>
    <w:p w:rsidR="00AF3B25" w:rsidRDefault="00AF3B25" w:rsidP="00AF3B25">
      <w:pPr>
        <w:spacing w:after="0" w:line="480" w:lineRule="auto"/>
        <w:rPr>
          <w:b/>
        </w:rPr>
      </w:pPr>
      <w:r>
        <w:rPr>
          <w:b/>
        </w:rPr>
        <w:t>T</w:t>
      </w:r>
      <w:r w:rsidRPr="00AC554D">
        <w:rPr>
          <w:b/>
        </w:rPr>
        <w:t xml:space="preserve">able </w:t>
      </w:r>
      <w:r w:rsidR="00775769">
        <w:rPr>
          <w:b/>
        </w:rPr>
        <w:t>6</w:t>
      </w:r>
      <w:r>
        <w:rPr>
          <w:b/>
        </w:rPr>
        <w:t xml:space="preserve">.  </w:t>
      </w:r>
    </w:p>
    <w:p w:rsidR="00AF3B25" w:rsidRPr="00AC554D" w:rsidRDefault="00AF3B25" w:rsidP="00AF3B25">
      <w:pPr>
        <w:spacing w:after="0" w:line="480" w:lineRule="auto"/>
        <w:rPr>
          <w:b/>
        </w:rPr>
      </w:pPr>
      <w:r>
        <w:rPr>
          <w:b/>
        </w:rPr>
        <w:t xml:space="preserve">Median </w:t>
      </w:r>
      <w:r w:rsidRPr="00AC554D">
        <w:rPr>
          <w:b/>
        </w:rPr>
        <w:t xml:space="preserve">Recorded Sale </w:t>
      </w:r>
      <w:r>
        <w:rPr>
          <w:b/>
        </w:rPr>
        <w:t>b</w:t>
      </w:r>
      <w:r w:rsidRPr="00AC554D">
        <w:rPr>
          <w:b/>
        </w:rPr>
        <w:t>y Category</w:t>
      </w:r>
      <w:r>
        <w:rPr>
          <w:b/>
        </w:rPr>
        <w:t xml:space="preserve">, in </w:t>
      </w:r>
      <w:r>
        <w:rPr>
          <w:rFonts w:cs="Times New Roman"/>
          <w:b/>
        </w:rPr>
        <w:t>£</w:t>
      </w:r>
      <w:r>
        <w:rPr>
          <w:b/>
        </w:rPr>
        <w:t xml:space="preserve"> Lawful Money (1771)</w:t>
      </w:r>
    </w:p>
    <w:p w:rsidR="00AF3B25" w:rsidRPr="00AC554D" w:rsidRDefault="00AF3B25" w:rsidP="00AF3B25">
      <w:pPr>
        <w:spacing w:after="0" w:line="480" w:lineRule="auto"/>
        <w:jc w:val="both"/>
      </w:pPr>
    </w:p>
    <w:tbl>
      <w:tblPr>
        <w:tblW w:w="4264"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74"/>
        <w:gridCol w:w="858"/>
        <w:gridCol w:w="720"/>
        <w:gridCol w:w="630"/>
        <w:gridCol w:w="782"/>
      </w:tblGrid>
      <w:tr w:rsidR="00AF3B25" w:rsidTr="00A870ED">
        <w:trPr>
          <w:trHeight w:val="255"/>
          <w:jc w:val="center"/>
        </w:trPr>
        <w:tc>
          <w:tcPr>
            <w:tcW w:w="1274"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both"/>
              <w:rPr>
                <w:b/>
                <w:bCs/>
                <w:sz w:val="20"/>
              </w:rPr>
            </w:pPr>
          </w:p>
        </w:tc>
        <w:tc>
          <w:tcPr>
            <w:tcW w:w="858"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Overall</w:t>
            </w:r>
          </w:p>
        </w:tc>
        <w:tc>
          <w:tcPr>
            <w:tcW w:w="720"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Credit</w:t>
            </w:r>
          </w:p>
        </w:tc>
        <w:tc>
          <w:tcPr>
            <w:tcW w:w="630"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Cash</w:t>
            </w:r>
          </w:p>
        </w:tc>
        <w:tc>
          <w:tcPr>
            <w:tcW w:w="782"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Barter</w:t>
            </w:r>
          </w:p>
        </w:tc>
      </w:tr>
      <w:tr w:rsidR="00AF3B25" w:rsidTr="00A870ED">
        <w:trPr>
          <w:trHeight w:val="255"/>
          <w:jc w:val="center"/>
        </w:trPr>
        <w:tc>
          <w:tcPr>
            <w:tcW w:w="1274"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both"/>
              <w:rPr>
                <w:b/>
                <w:bCs/>
                <w:sz w:val="20"/>
              </w:rPr>
            </w:pPr>
          </w:p>
          <w:p w:rsidR="00AF3B25" w:rsidRDefault="00AF3B25" w:rsidP="00A870ED">
            <w:pPr>
              <w:spacing w:after="0" w:line="240" w:lineRule="auto"/>
              <w:jc w:val="both"/>
              <w:rPr>
                <w:b/>
                <w:bCs/>
                <w:sz w:val="20"/>
              </w:rPr>
            </w:pPr>
            <w:r>
              <w:rPr>
                <w:b/>
                <w:bCs/>
                <w:sz w:val="20"/>
              </w:rPr>
              <w:t xml:space="preserve">Connecticut  </w:t>
            </w:r>
          </w:p>
          <w:p w:rsidR="00AF3B25" w:rsidRDefault="00AF3B25" w:rsidP="00A870ED">
            <w:pPr>
              <w:spacing w:after="0" w:line="240" w:lineRule="auto"/>
              <w:jc w:val="both"/>
              <w:rPr>
                <w:b/>
                <w:bCs/>
                <w:sz w:val="20"/>
              </w:rPr>
            </w:pPr>
          </w:p>
        </w:tc>
        <w:tc>
          <w:tcPr>
            <w:tcW w:w="858"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0.150</w:t>
            </w:r>
          </w:p>
          <w:p w:rsidR="00AF3B25" w:rsidRDefault="00AF3B25" w:rsidP="00A870ED">
            <w:pPr>
              <w:spacing w:after="0" w:line="240" w:lineRule="auto"/>
              <w:jc w:val="center"/>
              <w:rPr>
                <w:sz w:val="20"/>
              </w:rPr>
            </w:pPr>
          </w:p>
        </w:tc>
        <w:tc>
          <w:tcPr>
            <w:tcW w:w="720"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0.149</w:t>
            </w:r>
          </w:p>
          <w:p w:rsidR="00AF3B25" w:rsidRDefault="00AF3B25" w:rsidP="00A870ED">
            <w:pPr>
              <w:spacing w:after="0" w:line="240" w:lineRule="auto"/>
              <w:jc w:val="center"/>
              <w:rPr>
                <w:sz w:val="20"/>
              </w:rPr>
            </w:pPr>
          </w:p>
        </w:tc>
        <w:tc>
          <w:tcPr>
            <w:tcW w:w="630"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0.526</w:t>
            </w:r>
          </w:p>
          <w:p w:rsidR="00AF3B25" w:rsidRDefault="00AF3B25" w:rsidP="00A870ED">
            <w:pPr>
              <w:spacing w:after="0" w:line="240" w:lineRule="auto"/>
              <w:jc w:val="center"/>
              <w:rPr>
                <w:sz w:val="20"/>
              </w:rPr>
            </w:pPr>
          </w:p>
        </w:tc>
        <w:tc>
          <w:tcPr>
            <w:tcW w:w="782"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0.185</w:t>
            </w:r>
          </w:p>
          <w:p w:rsidR="00AF3B25" w:rsidRDefault="00AF3B25" w:rsidP="00A870ED">
            <w:pPr>
              <w:spacing w:after="0" w:line="240" w:lineRule="auto"/>
              <w:jc w:val="center"/>
              <w:rPr>
                <w:sz w:val="20"/>
              </w:rPr>
            </w:pPr>
          </w:p>
        </w:tc>
      </w:tr>
      <w:tr w:rsidR="00AF3B25" w:rsidTr="00A870ED">
        <w:trPr>
          <w:trHeight w:val="255"/>
          <w:jc w:val="center"/>
        </w:trPr>
        <w:tc>
          <w:tcPr>
            <w:tcW w:w="1274" w:type="dxa"/>
            <w:noWrap/>
            <w:tcMar>
              <w:top w:w="20" w:type="dxa"/>
              <w:left w:w="20" w:type="dxa"/>
              <w:bottom w:w="0" w:type="dxa"/>
              <w:right w:w="20" w:type="dxa"/>
            </w:tcMar>
            <w:vAlign w:val="bottom"/>
          </w:tcPr>
          <w:p w:rsidR="00AF3B25" w:rsidRDefault="00AF3B25" w:rsidP="00A870ED">
            <w:pPr>
              <w:spacing w:after="0" w:line="240" w:lineRule="auto"/>
              <w:jc w:val="both"/>
              <w:rPr>
                <w:b/>
                <w:bCs/>
                <w:sz w:val="20"/>
              </w:rPr>
            </w:pPr>
            <w:r>
              <w:rPr>
                <w:b/>
                <w:bCs/>
                <w:sz w:val="20"/>
              </w:rPr>
              <w:t>Massachusetts</w:t>
            </w:r>
          </w:p>
          <w:p w:rsidR="00AF3B25" w:rsidRDefault="00AF3B25" w:rsidP="00A870ED">
            <w:pPr>
              <w:spacing w:after="0" w:line="240" w:lineRule="auto"/>
              <w:jc w:val="both"/>
              <w:rPr>
                <w:b/>
                <w:bCs/>
                <w:sz w:val="20"/>
              </w:rPr>
            </w:pPr>
          </w:p>
        </w:tc>
        <w:tc>
          <w:tcPr>
            <w:tcW w:w="858"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0.850</w:t>
            </w:r>
          </w:p>
          <w:p w:rsidR="00AF3B25" w:rsidRDefault="00AF3B25" w:rsidP="00A870ED">
            <w:pPr>
              <w:spacing w:after="0" w:line="240" w:lineRule="auto"/>
              <w:jc w:val="center"/>
              <w:rPr>
                <w:sz w:val="20"/>
              </w:rPr>
            </w:pPr>
          </w:p>
        </w:tc>
        <w:tc>
          <w:tcPr>
            <w:tcW w:w="720"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0.840</w:t>
            </w:r>
          </w:p>
          <w:p w:rsidR="00AF3B25" w:rsidRDefault="00AF3B25" w:rsidP="00A870ED">
            <w:pPr>
              <w:spacing w:after="0" w:line="240" w:lineRule="auto"/>
              <w:jc w:val="center"/>
              <w:rPr>
                <w:sz w:val="20"/>
              </w:rPr>
            </w:pPr>
          </w:p>
        </w:tc>
        <w:tc>
          <w:tcPr>
            <w:tcW w:w="630"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2.240</w:t>
            </w:r>
          </w:p>
          <w:p w:rsidR="00AF3B25" w:rsidRDefault="00AF3B25" w:rsidP="00A870ED">
            <w:pPr>
              <w:spacing w:after="0" w:line="240" w:lineRule="auto"/>
              <w:jc w:val="center"/>
              <w:rPr>
                <w:sz w:val="20"/>
              </w:rPr>
            </w:pPr>
          </w:p>
        </w:tc>
        <w:tc>
          <w:tcPr>
            <w:tcW w:w="782"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1.440</w:t>
            </w:r>
          </w:p>
          <w:p w:rsidR="00AF3B25" w:rsidRDefault="00AF3B25" w:rsidP="00A870ED">
            <w:pPr>
              <w:spacing w:after="0" w:line="240" w:lineRule="auto"/>
              <w:jc w:val="center"/>
              <w:rPr>
                <w:sz w:val="20"/>
              </w:rPr>
            </w:pPr>
          </w:p>
        </w:tc>
      </w:tr>
    </w:tbl>
    <w:p w:rsidR="00AF3B25" w:rsidRDefault="00AF3B25" w:rsidP="00AF3B25">
      <w:pPr>
        <w:spacing w:after="0" w:line="480" w:lineRule="auto"/>
        <w:jc w:val="both"/>
      </w:pPr>
    </w:p>
    <w:p w:rsidR="00AF3B25" w:rsidRDefault="00AF3B25" w:rsidP="00AF3B25">
      <w:pPr>
        <w:spacing w:after="0" w:line="480" w:lineRule="auto"/>
        <w:rPr>
          <w:b/>
        </w:rPr>
      </w:pPr>
      <w:r>
        <w:rPr>
          <w:b/>
        </w:rPr>
        <w:t>T</w:t>
      </w:r>
      <w:r w:rsidRPr="00AC554D">
        <w:rPr>
          <w:b/>
        </w:rPr>
        <w:t xml:space="preserve">able </w:t>
      </w:r>
      <w:r w:rsidR="00775769">
        <w:rPr>
          <w:b/>
        </w:rPr>
        <w:t>7</w:t>
      </w:r>
      <w:r>
        <w:rPr>
          <w:b/>
        </w:rPr>
        <w:t xml:space="preserve">.  </w:t>
      </w:r>
    </w:p>
    <w:p w:rsidR="00AF3B25" w:rsidRPr="00AC554D" w:rsidRDefault="00AF3B25" w:rsidP="00AF3B25">
      <w:pPr>
        <w:spacing w:after="0" w:line="480" w:lineRule="auto"/>
        <w:rPr>
          <w:b/>
        </w:rPr>
      </w:pPr>
      <w:r>
        <w:rPr>
          <w:b/>
        </w:rPr>
        <w:t xml:space="preserve">Percentage of Total </w:t>
      </w:r>
      <w:r>
        <w:rPr>
          <w:rFonts w:cs="Times New Roman"/>
          <w:b/>
        </w:rPr>
        <w:t>£</w:t>
      </w:r>
      <w:r>
        <w:rPr>
          <w:b/>
        </w:rPr>
        <w:t xml:space="preserve"> Lawful Money (1771) </w:t>
      </w:r>
      <w:r w:rsidR="00584117">
        <w:rPr>
          <w:b/>
        </w:rPr>
        <w:t xml:space="preserve">Recorded </w:t>
      </w:r>
      <w:r>
        <w:rPr>
          <w:b/>
        </w:rPr>
        <w:t>Sales</w:t>
      </w:r>
      <w:r w:rsidR="00584117">
        <w:rPr>
          <w:b/>
        </w:rPr>
        <w:t>,</w:t>
      </w:r>
      <w:r>
        <w:rPr>
          <w:b/>
        </w:rPr>
        <w:t xml:space="preserve"> by Category</w:t>
      </w:r>
    </w:p>
    <w:p w:rsidR="00AF3B25" w:rsidRPr="00AC554D" w:rsidRDefault="00AF3B25" w:rsidP="00AF3B25">
      <w:pPr>
        <w:spacing w:after="0" w:line="480" w:lineRule="auto"/>
        <w:jc w:val="both"/>
      </w:pPr>
    </w:p>
    <w:tbl>
      <w:tblPr>
        <w:tblW w:w="3406"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74"/>
        <w:gridCol w:w="720"/>
        <w:gridCol w:w="630"/>
        <w:gridCol w:w="782"/>
      </w:tblGrid>
      <w:tr w:rsidR="00AF3B25" w:rsidTr="00AF3B25">
        <w:trPr>
          <w:trHeight w:val="255"/>
          <w:jc w:val="center"/>
        </w:trPr>
        <w:tc>
          <w:tcPr>
            <w:tcW w:w="1274"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both"/>
              <w:rPr>
                <w:b/>
                <w:bCs/>
                <w:sz w:val="20"/>
              </w:rPr>
            </w:pPr>
          </w:p>
        </w:tc>
        <w:tc>
          <w:tcPr>
            <w:tcW w:w="720"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Credit</w:t>
            </w:r>
          </w:p>
        </w:tc>
        <w:tc>
          <w:tcPr>
            <w:tcW w:w="630"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Cash</w:t>
            </w:r>
          </w:p>
        </w:tc>
        <w:tc>
          <w:tcPr>
            <w:tcW w:w="782" w:type="dxa"/>
            <w:tcBorders>
              <w:bottom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b/>
                <w:bCs/>
                <w:sz w:val="20"/>
              </w:rPr>
            </w:pPr>
            <w:r>
              <w:rPr>
                <w:b/>
                <w:bCs/>
                <w:sz w:val="20"/>
              </w:rPr>
              <w:t>Barter</w:t>
            </w:r>
          </w:p>
        </w:tc>
      </w:tr>
      <w:tr w:rsidR="00AF3B25" w:rsidTr="00AF3B25">
        <w:trPr>
          <w:trHeight w:val="255"/>
          <w:jc w:val="center"/>
        </w:trPr>
        <w:tc>
          <w:tcPr>
            <w:tcW w:w="1274"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both"/>
              <w:rPr>
                <w:b/>
                <w:bCs/>
                <w:sz w:val="20"/>
              </w:rPr>
            </w:pPr>
          </w:p>
          <w:p w:rsidR="00AF3B25" w:rsidRDefault="00AF3B25" w:rsidP="00A870ED">
            <w:pPr>
              <w:spacing w:after="0" w:line="240" w:lineRule="auto"/>
              <w:jc w:val="both"/>
              <w:rPr>
                <w:b/>
                <w:bCs/>
                <w:sz w:val="20"/>
              </w:rPr>
            </w:pPr>
            <w:r>
              <w:rPr>
                <w:b/>
                <w:bCs/>
                <w:sz w:val="20"/>
              </w:rPr>
              <w:t xml:space="preserve">Connecticut  </w:t>
            </w:r>
          </w:p>
          <w:p w:rsidR="00AF3B25" w:rsidRDefault="00AF3B25" w:rsidP="00A870ED">
            <w:pPr>
              <w:spacing w:after="0" w:line="240" w:lineRule="auto"/>
              <w:jc w:val="both"/>
              <w:rPr>
                <w:b/>
                <w:bCs/>
                <w:sz w:val="20"/>
              </w:rPr>
            </w:pPr>
          </w:p>
        </w:tc>
        <w:tc>
          <w:tcPr>
            <w:tcW w:w="720"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96.4%</w:t>
            </w:r>
          </w:p>
          <w:p w:rsidR="00AF3B25" w:rsidRDefault="00AF3B25" w:rsidP="00A870ED">
            <w:pPr>
              <w:spacing w:after="0" w:line="240" w:lineRule="auto"/>
              <w:jc w:val="center"/>
              <w:rPr>
                <w:sz w:val="20"/>
              </w:rPr>
            </w:pPr>
          </w:p>
        </w:tc>
        <w:tc>
          <w:tcPr>
            <w:tcW w:w="630"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3.0%</w:t>
            </w:r>
          </w:p>
          <w:p w:rsidR="00AF3B25" w:rsidRDefault="00AF3B25" w:rsidP="00A870ED">
            <w:pPr>
              <w:spacing w:after="0" w:line="240" w:lineRule="auto"/>
              <w:jc w:val="center"/>
              <w:rPr>
                <w:sz w:val="20"/>
              </w:rPr>
            </w:pPr>
          </w:p>
        </w:tc>
        <w:tc>
          <w:tcPr>
            <w:tcW w:w="782" w:type="dxa"/>
            <w:tcBorders>
              <w:top w:val="single" w:sz="6" w:space="0" w:color="808080"/>
            </w:tcBorders>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0.6%</w:t>
            </w:r>
          </w:p>
          <w:p w:rsidR="00AF3B25" w:rsidRDefault="00AF3B25" w:rsidP="00A870ED">
            <w:pPr>
              <w:spacing w:after="0" w:line="240" w:lineRule="auto"/>
              <w:jc w:val="center"/>
              <w:rPr>
                <w:sz w:val="20"/>
              </w:rPr>
            </w:pPr>
          </w:p>
        </w:tc>
      </w:tr>
      <w:tr w:rsidR="00AF3B25" w:rsidTr="00AF3B25">
        <w:trPr>
          <w:trHeight w:val="255"/>
          <w:jc w:val="center"/>
        </w:trPr>
        <w:tc>
          <w:tcPr>
            <w:tcW w:w="1274" w:type="dxa"/>
            <w:noWrap/>
            <w:tcMar>
              <w:top w:w="20" w:type="dxa"/>
              <w:left w:w="20" w:type="dxa"/>
              <w:bottom w:w="0" w:type="dxa"/>
              <w:right w:w="20" w:type="dxa"/>
            </w:tcMar>
            <w:vAlign w:val="bottom"/>
          </w:tcPr>
          <w:p w:rsidR="00AF3B25" w:rsidRDefault="00AF3B25" w:rsidP="00A870ED">
            <w:pPr>
              <w:spacing w:after="0" w:line="240" w:lineRule="auto"/>
              <w:jc w:val="both"/>
              <w:rPr>
                <w:b/>
                <w:bCs/>
                <w:sz w:val="20"/>
              </w:rPr>
            </w:pPr>
            <w:r>
              <w:rPr>
                <w:b/>
                <w:bCs/>
                <w:sz w:val="20"/>
              </w:rPr>
              <w:t>Massachusetts</w:t>
            </w:r>
          </w:p>
          <w:p w:rsidR="00AF3B25" w:rsidRDefault="00AF3B25" w:rsidP="00A870ED">
            <w:pPr>
              <w:spacing w:after="0" w:line="240" w:lineRule="auto"/>
              <w:jc w:val="both"/>
              <w:rPr>
                <w:b/>
                <w:bCs/>
                <w:sz w:val="20"/>
              </w:rPr>
            </w:pPr>
          </w:p>
        </w:tc>
        <w:tc>
          <w:tcPr>
            <w:tcW w:w="720"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99.5%</w:t>
            </w:r>
          </w:p>
          <w:p w:rsidR="00AF3B25" w:rsidRDefault="00AF3B25" w:rsidP="00A870ED">
            <w:pPr>
              <w:spacing w:after="0" w:line="240" w:lineRule="auto"/>
              <w:jc w:val="center"/>
              <w:rPr>
                <w:sz w:val="20"/>
              </w:rPr>
            </w:pPr>
          </w:p>
        </w:tc>
        <w:tc>
          <w:tcPr>
            <w:tcW w:w="630"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0.3%</w:t>
            </w:r>
          </w:p>
          <w:p w:rsidR="00AF3B25" w:rsidRDefault="00AF3B25" w:rsidP="00A870ED">
            <w:pPr>
              <w:spacing w:after="0" w:line="240" w:lineRule="auto"/>
              <w:jc w:val="center"/>
              <w:rPr>
                <w:sz w:val="20"/>
              </w:rPr>
            </w:pPr>
          </w:p>
        </w:tc>
        <w:tc>
          <w:tcPr>
            <w:tcW w:w="782" w:type="dxa"/>
            <w:noWrap/>
            <w:tcMar>
              <w:top w:w="20" w:type="dxa"/>
              <w:left w:w="20" w:type="dxa"/>
              <w:bottom w:w="0" w:type="dxa"/>
              <w:right w:w="20" w:type="dxa"/>
            </w:tcMar>
            <w:vAlign w:val="bottom"/>
          </w:tcPr>
          <w:p w:rsidR="00AF3B25" w:rsidRDefault="00AF3B25" w:rsidP="00A870ED">
            <w:pPr>
              <w:spacing w:after="0" w:line="240" w:lineRule="auto"/>
              <w:jc w:val="center"/>
              <w:rPr>
                <w:sz w:val="20"/>
              </w:rPr>
            </w:pPr>
            <w:r>
              <w:rPr>
                <w:sz w:val="20"/>
              </w:rPr>
              <w:t>0.2%</w:t>
            </w:r>
          </w:p>
          <w:p w:rsidR="00AF3B25" w:rsidRDefault="00AF3B25" w:rsidP="00A870ED">
            <w:pPr>
              <w:spacing w:after="0" w:line="240" w:lineRule="auto"/>
              <w:jc w:val="center"/>
              <w:rPr>
                <w:sz w:val="20"/>
              </w:rPr>
            </w:pPr>
          </w:p>
        </w:tc>
      </w:tr>
    </w:tbl>
    <w:p w:rsidR="00AF3B25" w:rsidRDefault="00AF3B25" w:rsidP="00AF3B25">
      <w:pPr>
        <w:spacing w:after="0" w:line="480" w:lineRule="auto"/>
        <w:jc w:val="both"/>
      </w:pPr>
    </w:p>
    <w:p w:rsidR="00AF3B25" w:rsidRDefault="00AF3B25">
      <w:r>
        <w:br w:type="page"/>
      </w:r>
    </w:p>
    <w:p w:rsidR="00584117" w:rsidRDefault="00584117" w:rsidP="00584117">
      <w:pPr>
        <w:spacing w:after="0" w:line="480" w:lineRule="auto"/>
        <w:jc w:val="both"/>
        <w:rPr>
          <w:b/>
        </w:rPr>
      </w:pPr>
      <w:r w:rsidRPr="007C426C">
        <w:rPr>
          <w:b/>
        </w:rPr>
        <w:lastRenderedPageBreak/>
        <w:t xml:space="preserve">Table </w:t>
      </w:r>
      <w:r w:rsidR="00775769">
        <w:rPr>
          <w:b/>
        </w:rPr>
        <w:t>8</w:t>
      </w:r>
      <w:r w:rsidRPr="007C426C">
        <w:rPr>
          <w:b/>
        </w:rPr>
        <w:t xml:space="preserve">.  </w:t>
      </w:r>
    </w:p>
    <w:p w:rsidR="00584117" w:rsidRDefault="00584117" w:rsidP="00584117">
      <w:pPr>
        <w:spacing w:after="0" w:line="480" w:lineRule="auto"/>
      </w:pPr>
      <w:r>
        <w:rPr>
          <w:b/>
        </w:rPr>
        <w:t xml:space="preserve">Average </w:t>
      </w:r>
      <w:r w:rsidRPr="00AC554D">
        <w:rPr>
          <w:b/>
        </w:rPr>
        <w:t xml:space="preserve">Recorded </w:t>
      </w:r>
      <w:r>
        <w:rPr>
          <w:b/>
        </w:rPr>
        <w:t>Repayment</w:t>
      </w:r>
      <w:r w:rsidRPr="00AC554D">
        <w:rPr>
          <w:b/>
        </w:rPr>
        <w:t xml:space="preserve"> </w:t>
      </w:r>
      <w:r>
        <w:rPr>
          <w:b/>
        </w:rPr>
        <w:t>b</w:t>
      </w:r>
      <w:r w:rsidRPr="00AC554D">
        <w:rPr>
          <w:b/>
        </w:rPr>
        <w:t>y Category</w:t>
      </w:r>
      <w:r>
        <w:rPr>
          <w:b/>
        </w:rPr>
        <w:t xml:space="preserve">, in </w:t>
      </w:r>
      <w:r>
        <w:rPr>
          <w:rFonts w:cs="Times New Roman"/>
          <w:b/>
        </w:rPr>
        <w:t>£</w:t>
      </w:r>
      <w:r>
        <w:rPr>
          <w:b/>
        </w:rPr>
        <w:t xml:space="preserve"> Lawful Money (1771)</w:t>
      </w:r>
    </w:p>
    <w:tbl>
      <w:tblPr>
        <w:tblW w:w="7714"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34"/>
        <w:gridCol w:w="1056"/>
        <w:gridCol w:w="945"/>
        <w:gridCol w:w="785"/>
        <w:gridCol w:w="690"/>
        <w:gridCol w:w="912"/>
        <w:gridCol w:w="912"/>
        <w:gridCol w:w="590"/>
        <w:gridCol w:w="590"/>
      </w:tblGrid>
      <w:tr w:rsidR="00584117" w:rsidTr="00A870ED">
        <w:trPr>
          <w:trHeight w:val="255"/>
          <w:jc w:val="center"/>
        </w:trPr>
        <w:tc>
          <w:tcPr>
            <w:tcW w:w="1234" w:type="dxa"/>
            <w:tcBorders>
              <w:bottom w:val="single" w:sz="6" w:space="0" w:color="808080"/>
            </w:tcBorders>
            <w:vAlign w:val="bottom"/>
          </w:tcPr>
          <w:p w:rsidR="00584117" w:rsidRDefault="00584117" w:rsidP="00A870ED">
            <w:pPr>
              <w:spacing w:after="0" w:line="240" w:lineRule="auto"/>
              <w:jc w:val="both"/>
              <w:rPr>
                <w:b/>
                <w:bCs/>
                <w:sz w:val="20"/>
              </w:rPr>
            </w:pPr>
          </w:p>
        </w:tc>
        <w:tc>
          <w:tcPr>
            <w:tcW w:w="1056"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Overall</w:t>
            </w:r>
          </w:p>
        </w:tc>
        <w:tc>
          <w:tcPr>
            <w:tcW w:w="945" w:type="dxa"/>
            <w:tcBorders>
              <w:bottom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b/>
                <w:bCs/>
                <w:sz w:val="20"/>
              </w:rPr>
            </w:pPr>
            <w:r>
              <w:rPr>
                <w:b/>
                <w:bCs/>
                <w:sz w:val="20"/>
              </w:rPr>
              <w:t>Cash</w:t>
            </w:r>
          </w:p>
        </w:tc>
        <w:tc>
          <w:tcPr>
            <w:tcW w:w="785" w:type="dxa"/>
            <w:tcBorders>
              <w:bottom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b/>
                <w:bCs/>
                <w:sz w:val="20"/>
              </w:rPr>
            </w:pPr>
            <w:r>
              <w:rPr>
                <w:b/>
                <w:bCs/>
                <w:sz w:val="20"/>
              </w:rPr>
              <w:t>Personal Notes</w:t>
            </w:r>
          </w:p>
        </w:tc>
        <w:tc>
          <w:tcPr>
            <w:tcW w:w="690" w:type="dxa"/>
            <w:tcBorders>
              <w:bottom w:val="single" w:sz="6" w:space="0" w:color="808080"/>
            </w:tcBorders>
            <w:noWrap/>
            <w:tcMar>
              <w:top w:w="20" w:type="dxa"/>
              <w:left w:w="20" w:type="dxa"/>
              <w:bottom w:w="0" w:type="dxa"/>
              <w:right w:w="20" w:type="dxa"/>
            </w:tcMar>
            <w:vAlign w:val="bottom"/>
          </w:tcPr>
          <w:p w:rsidR="00584117" w:rsidRDefault="00702BC3" w:rsidP="00A870ED">
            <w:pPr>
              <w:spacing w:after="0" w:line="240" w:lineRule="auto"/>
              <w:jc w:val="center"/>
              <w:rPr>
                <w:b/>
                <w:bCs/>
                <w:sz w:val="20"/>
              </w:rPr>
            </w:pPr>
            <w:r>
              <w:rPr>
                <w:b/>
                <w:bCs/>
                <w:sz w:val="20"/>
              </w:rPr>
              <w:t>Third-party</w:t>
            </w:r>
            <w:r w:rsidR="00584117">
              <w:rPr>
                <w:b/>
                <w:bCs/>
                <w:sz w:val="20"/>
              </w:rPr>
              <w:t xml:space="preserve"> Notes</w:t>
            </w:r>
          </w:p>
        </w:tc>
        <w:tc>
          <w:tcPr>
            <w:tcW w:w="912"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Goods</w:t>
            </w:r>
          </w:p>
        </w:tc>
        <w:tc>
          <w:tcPr>
            <w:tcW w:w="912"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Reckoning</w:t>
            </w:r>
          </w:p>
        </w:tc>
        <w:tc>
          <w:tcPr>
            <w:tcW w:w="590"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Labor</w:t>
            </w:r>
          </w:p>
        </w:tc>
        <w:tc>
          <w:tcPr>
            <w:tcW w:w="590" w:type="dxa"/>
            <w:tcBorders>
              <w:bottom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b/>
                <w:bCs/>
                <w:sz w:val="20"/>
              </w:rPr>
            </w:pPr>
            <w:r>
              <w:rPr>
                <w:b/>
                <w:bCs/>
                <w:sz w:val="20"/>
              </w:rPr>
              <w:t>Bond</w:t>
            </w:r>
          </w:p>
        </w:tc>
      </w:tr>
      <w:tr w:rsidR="00584117" w:rsidTr="00A870ED">
        <w:trPr>
          <w:trHeight w:val="255"/>
          <w:jc w:val="center"/>
        </w:trPr>
        <w:tc>
          <w:tcPr>
            <w:tcW w:w="1234" w:type="dxa"/>
            <w:tcBorders>
              <w:top w:val="single" w:sz="6" w:space="0" w:color="808080"/>
            </w:tcBorders>
            <w:vAlign w:val="bottom"/>
          </w:tcPr>
          <w:p w:rsidR="00584117" w:rsidRDefault="00584117" w:rsidP="00A870ED">
            <w:pPr>
              <w:spacing w:after="0" w:line="240" w:lineRule="auto"/>
              <w:jc w:val="both"/>
              <w:rPr>
                <w:b/>
                <w:bCs/>
                <w:sz w:val="20"/>
              </w:rPr>
            </w:pPr>
            <w:r>
              <w:rPr>
                <w:b/>
                <w:bCs/>
                <w:sz w:val="20"/>
              </w:rPr>
              <w:t xml:space="preserve">Connecticut </w:t>
            </w:r>
          </w:p>
          <w:p w:rsidR="00584117" w:rsidRDefault="00584117" w:rsidP="00A870ED">
            <w:pPr>
              <w:spacing w:after="0" w:line="240" w:lineRule="auto"/>
              <w:jc w:val="both"/>
              <w:rPr>
                <w:b/>
                <w:bCs/>
                <w:sz w:val="20"/>
              </w:rPr>
            </w:pPr>
          </w:p>
        </w:tc>
        <w:tc>
          <w:tcPr>
            <w:tcW w:w="1056" w:type="dxa"/>
            <w:tcBorders>
              <w:top w:val="single" w:sz="6" w:space="0" w:color="808080"/>
            </w:tcBorders>
            <w:vAlign w:val="bottom"/>
          </w:tcPr>
          <w:p w:rsidR="00584117" w:rsidRDefault="00584117" w:rsidP="00584117">
            <w:pPr>
              <w:spacing w:after="0" w:line="240" w:lineRule="auto"/>
              <w:jc w:val="center"/>
              <w:rPr>
                <w:sz w:val="20"/>
              </w:rPr>
            </w:pPr>
          </w:p>
          <w:p w:rsidR="00584117" w:rsidRDefault="00584117" w:rsidP="00584117">
            <w:pPr>
              <w:spacing w:after="0" w:line="240" w:lineRule="auto"/>
              <w:jc w:val="center"/>
              <w:rPr>
                <w:sz w:val="20"/>
              </w:rPr>
            </w:pPr>
            <w:r>
              <w:rPr>
                <w:sz w:val="20"/>
              </w:rPr>
              <w:t>2.334</w:t>
            </w:r>
          </w:p>
          <w:p w:rsidR="00584117" w:rsidRDefault="00584117" w:rsidP="00584117">
            <w:pPr>
              <w:spacing w:after="0" w:line="240" w:lineRule="auto"/>
              <w:jc w:val="center"/>
              <w:rPr>
                <w:sz w:val="20"/>
              </w:rPr>
            </w:pPr>
          </w:p>
        </w:tc>
        <w:tc>
          <w:tcPr>
            <w:tcW w:w="945"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3.099</w:t>
            </w:r>
          </w:p>
          <w:p w:rsidR="00584117" w:rsidRDefault="00584117" w:rsidP="00A870ED">
            <w:pPr>
              <w:spacing w:after="0" w:line="240" w:lineRule="auto"/>
              <w:jc w:val="center"/>
              <w:rPr>
                <w:sz w:val="20"/>
              </w:rPr>
            </w:pPr>
          </w:p>
        </w:tc>
        <w:tc>
          <w:tcPr>
            <w:tcW w:w="785"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8.275</w:t>
            </w:r>
          </w:p>
          <w:p w:rsidR="00584117" w:rsidRDefault="00584117" w:rsidP="00A870ED">
            <w:pPr>
              <w:spacing w:after="0" w:line="240" w:lineRule="auto"/>
              <w:jc w:val="center"/>
              <w:rPr>
                <w:sz w:val="20"/>
              </w:rPr>
            </w:pPr>
          </w:p>
        </w:tc>
        <w:tc>
          <w:tcPr>
            <w:tcW w:w="690"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2.014</w:t>
            </w:r>
          </w:p>
          <w:p w:rsidR="00584117" w:rsidRDefault="00584117" w:rsidP="00A870ED">
            <w:pPr>
              <w:spacing w:after="0" w:line="240" w:lineRule="auto"/>
              <w:jc w:val="center"/>
              <w:rPr>
                <w:sz w:val="20"/>
              </w:rPr>
            </w:pPr>
          </w:p>
        </w:tc>
        <w:tc>
          <w:tcPr>
            <w:tcW w:w="912" w:type="dxa"/>
            <w:tcBorders>
              <w:top w:val="single" w:sz="6" w:space="0" w:color="808080"/>
            </w:tcBorders>
            <w:vAlign w:val="bottom"/>
          </w:tcPr>
          <w:p w:rsidR="00584117" w:rsidRDefault="00584117" w:rsidP="00A870ED">
            <w:pPr>
              <w:spacing w:after="0" w:line="240" w:lineRule="auto"/>
              <w:jc w:val="center"/>
              <w:rPr>
                <w:sz w:val="20"/>
              </w:rPr>
            </w:pPr>
            <w:r>
              <w:rPr>
                <w:sz w:val="20"/>
              </w:rPr>
              <w:t>2.033</w:t>
            </w:r>
          </w:p>
          <w:p w:rsidR="00584117" w:rsidRDefault="00584117" w:rsidP="00A870ED">
            <w:pPr>
              <w:spacing w:after="0" w:line="240" w:lineRule="auto"/>
              <w:jc w:val="center"/>
              <w:rPr>
                <w:sz w:val="20"/>
              </w:rPr>
            </w:pPr>
          </w:p>
        </w:tc>
        <w:tc>
          <w:tcPr>
            <w:tcW w:w="912" w:type="dxa"/>
            <w:tcBorders>
              <w:top w:val="single" w:sz="6" w:space="0" w:color="808080"/>
            </w:tcBorders>
            <w:vAlign w:val="bottom"/>
          </w:tcPr>
          <w:p w:rsidR="00584117" w:rsidRDefault="00584117" w:rsidP="00A870ED">
            <w:pPr>
              <w:spacing w:after="0" w:line="240" w:lineRule="auto"/>
              <w:jc w:val="center"/>
              <w:rPr>
                <w:sz w:val="20"/>
              </w:rPr>
            </w:pPr>
            <w:r>
              <w:rPr>
                <w:sz w:val="20"/>
              </w:rPr>
              <w:t>1.229</w:t>
            </w:r>
          </w:p>
          <w:p w:rsidR="00584117" w:rsidRDefault="00584117" w:rsidP="00A870ED">
            <w:pPr>
              <w:spacing w:after="0" w:line="240" w:lineRule="auto"/>
              <w:jc w:val="center"/>
              <w:rPr>
                <w:sz w:val="20"/>
              </w:rPr>
            </w:pPr>
          </w:p>
        </w:tc>
        <w:tc>
          <w:tcPr>
            <w:tcW w:w="590" w:type="dxa"/>
            <w:tcBorders>
              <w:top w:val="single" w:sz="6" w:space="0" w:color="808080"/>
            </w:tcBorders>
            <w:vAlign w:val="bottom"/>
          </w:tcPr>
          <w:p w:rsidR="00584117" w:rsidRDefault="00584117" w:rsidP="00A870ED">
            <w:pPr>
              <w:spacing w:after="0" w:line="240" w:lineRule="auto"/>
              <w:jc w:val="center"/>
              <w:rPr>
                <w:sz w:val="20"/>
              </w:rPr>
            </w:pPr>
            <w:r>
              <w:rPr>
                <w:sz w:val="20"/>
              </w:rPr>
              <w:t>0.501</w:t>
            </w:r>
          </w:p>
          <w:p w:rsidR="00584117" w:rsidRDefault="00584117" w:rsidP="00A870ED">
            <w:pPr>
              <w:spacing w:after="0" w:line="240" w:lineRule="auto"/>
              <w:jc w:val="center"/>
              <w:rPr>
                <w:sz w:val="20"/>
              </w:rPr>
            </w:pPr>
          </w:p>
        </w:tc>
        <w:tc>
          <w:tcPr>
            <w:tcW w:w="590" w:type="dxa"/>
            <w:tcBorders>
              <w:top w:val="single" w:sz="6" w:space="0" w:color="808080"/>
            </w:tcBorders>
            <w:noWrap/>
            <w:tcMar>
              <w:top w:w="20" w:type="dxa"/>
              <w:left w:w="20" w:type="dxa"/>
              <w:bottom w:w="0" w:type="dxa"/>
              <w:right w:w="20" w:type="dxa"/>
            </w:tcMar>
            <w:vAlign w:val="bottom"/>
          </w:tcPr>
          <w:p w:rsidR="00584117" w:rsidRDefault="00584117" w:rsidP="00584117">
            <w:pPr>
              <w:spacing w:after="0" w:line="240" w:lineRule="auto"/>
              <w:jc w:val="center"/>
              <w:rPr>
                <w:sz w:val="20"/>
              </w:rPr>
            </w:pPr>
            <w:r>
              <w:rPr>
                <w:sz w:val="20"/>
              </w:rPr>
              <w:t>NA</w:t>
            </w:r>
          </w:p>
          <w:p w:rsidR="00584117" w:rsidRDefault="00584117" w:rsidP="00584117">
            <w:pPr>
              <w:spacing w:after="0" w:line="240" w:lineRule="auto"/>
              <w:jc w:val="center"/>
              <w:rPr>
                <w:sz w:val="20"/>
              </w:rPr>
            </w:pPr>
          </w:p>
        </w:tc>
      </w:tr>
      <w:tr w:rsidR="00584117" w:rsidTr="00A870ED">
        <w:trPr>
          <w:trHeight w:val="255"/>
          <w:jc w:val="center"/>
        </w:trPr>
        <w:tc>
          <w:tcPr>
            <w:tcW w:w="1234" w:type="dxa"/>
            <w:vAlign w:val="bottom"/>
          </w:tcPr>
          <w:p w:rsidR="00584117" w:rsidRDefault="00584117" w:rsidP="00A870ED">
            <w:pPr>
              <w:spacing w:after="0" w:line="240" w:lineRule="auto"/>
              <w:jc w:val="both"/>
              <w:rPr>
                <w:b/>
                <w:bCs/>
                <w:sz w:val="20"/>
              </w:rPr>
            </w:pPr>
            <w:r>
              <w:rPr>
                <w:b/>
                <w:bCs/>
                <w:sz w:val="20"/>
              </w:rPr>
              <w:t>Massachusetts</w:t>
            </w:r>
          </w:p>
          <w:p w:rsidR="00584117" w:rsidRDefault="00584117" w:rsidP="00A870ED">
            <w:pPr>
              <w:spacing w:after="0" w:line="240" w:lineRule="auto"/>
              <w:jc w:val="both"/>
              <w:rPr>
                <w:b/>
                <w:bCs/>
                <w:sz w:val="20"/>
              </w:rPr>
            </w:pPr>
          </w:p>
        </w:tc>
        <w:tc>
          <w:tcPr>
            <w:tcW w:w="1056" w:type="dxa"/>
            <w:vAlign w:val="bottom"/>
          </w:tcPr>
          <w:p w:rsidR="00584117" w:rsidRDefault="00584117" w:rsidP="00A870ED">
            <w:pPr>
              <w:spacing w:after="0" w:line="240" w:lineRule="auto"/>
              <w:jc w:val="center"/>
              <w:rPr>
                <w:sz w:val="20"/>
              </w:rPr>
            </w:pPr>
          </w:p>
          <w:p w:rsidR="00584117" w:rsidRDefault="00584117" w:rsidP="00A870ED">
            <w:pPr>
              <w:spacing w:after="0" w:line="240" w:lineRule="auto"/>
              <w:jc w:val="center"/>
              <w:rPr>
                <w:sz w:val="20"/>
              </w:rPr>
            </w:pPr>
            <w:r>
              <w:rPr>
                <w:sz w:val="20"/>
              </w:rPr>
              <w:t>29.388</w:t>
            </w:r>
          </w:p>
          <w:p w:rsidR="00584117" w:rsidRDefault="00584117" w:rsidP="00A870ED">
            <w:pPr>
              <w:spacing w:after="0" w:line="240" w:lineRule="auto"/>
              <w:jc w:val="center"/>
              <w:rPr>
                <w:sz w:val="20"/>
              </w:rPr>
            </w:pPr>
          </w:p>
        </w:tc>
        <w:tc>
          <w:tcPr>
            <w:tcW w:w="945"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51.741</w:t>
            </w:r>
          </w:p>
          <w:p w:rsidR="00584117" w:rsidRDefault="00584117" w:rsidP="00A870ED">
            <w:pPr>
              <w:spacing w:after="0" w:line="240" w:lineRule="auto"/>
              <w:jc w:val="center"/>
              <w:rPr>
                <w:sz w:val="20"/>
              </w:rPr>
            </w:pPr>
          </w:p>
        </w:tc>
        <w:tc>
          <w:tcPr>
            <w:tcW w:w="785"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35.726</w:t>
            </w:r>
          </w:p>
          <w:p w:rsidR="00584117" w:rsidRDefault="00584117" w:rsidP="00A870ED">
            <w:pPr>
              <w:spacing w:after="0" w:line="240" w:lineRule="auto"/>
              <w:jc w:val="center"/>
              <w:rPr>
                <w:sz w:val="20"/>
              </w:rPr>
            </w:pPr>
          </w:p>
        </w:tc>
        <w:tc>
          <w:tcPr>
            <w:tcW w:w="690"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40.090</w:t>
            </w:r>
          </w:p>
          <w:p w:rsidR="00584117" w:rsidRDefault="00584117" w:rsidP="00A870ED">
            <w:pPr>
              <w:spacing w:after="0" w:line="240" w:lineRule="auto"/>
              <w:jc w:val="center"/>
              <w:rPr>
                <w:sz w:val="20"/>
              </w:rPr>
            </w:pPr>
          </w:p>
        </w:tc>
        <w:tc>
          <w:tcPr>
            <w:tcW w:w="912" w:type="dxa"/>
            <w:vAlign w:val="bottom"/>
          </w:tcPr>
          <w:p w:rsidR="00584117" w:rsidRDefault="00584117" w:rsidP="00A870ED">
            <w:pPr>
              <w:spacing w:after="0" w:line="240" w:lineRule="auto"/>
              <w:jc w:val="center"/>
              <w:rPr>
                <w:sz w:val="20"/>
              </w:rPr>
            </w:pPr>
            <w:r>
              <w:rPr>
                <w:sz w:val="20"/>
              </w:rPr>
              <w:t>14.143</w:t>
            </w:r>
          </w:p>
          <w:p w:rsidR="00584117" w:rsidRDefault="00584117" w:rsidP="00A870ED">
            <w:pPr>
              <w:spacing w:after="0" w:line="240" w:lineRule="auto"/>
              <w:jc w:val="center"/>
              <w:rPr>
                <w:sz w:val="20"/>
              </w:rPr>
            </w:pPr>
          </w:p>
        </w:tc>
        <w:tc>
          <w:tcPr>
            <w:tcW w:w="912" w:type="dxa"/>
            <w:vAlign w:val="bottom"/>
          </w:tcPr>
          <w:p w:rsidR="00584117" w:rsidRDefault="00584117" w:rsidP="00A870ED">
            <w:pPr>
              <w:spacing w:after="0" w:line="240" w:lineRule="auto"/>
              <w:jc w:val="center"/>
              <w:rPr>
                <w:sz w:val="20"/>
              </w:rPr>
            </w:pPr>
            <w:r>
              <w:rPr>
                <w:sz w:val="20"/>
              </w:rPr>
              <w:t>36.412</w:t>
            </w:r>
          </w:p>
          <w:p w:rsidR="00584117" w:rsidRDefault="00584117" w:rsidP="00A870ED">
            <w:pPr>
              <w:spacing w:after="0" w:line="240" w:lineRule="auto"/>
              <w:jc w:val="center"/>
              <w:rPr>
                <w:sz w:val="20"/>
              </w:rPr>
            </w:pPr>
          </w:p>
        </w:tc>
        <w:tc>
          <w:tcPr>
            <w:tcW w:w="590" w:type="dxa"/>
            <w:vAlign w:val="bottom"/>
          </w:tcPr>
          <w:p w:rsidR="00584117" w:rsidRDefault="00584117" w:rsidP="00A870ED">
            <w:pPr>
              <w:spacing w:after="0" w:line="240" w:lineRule="auto"/>
              <w:jc w:val="center"/>
              <w:rPr>
                <w:sz w:val="20"/>
              </w:rPr>
            </w:pPr>
            <w:r>
              <w:rPr>
                <w:sz w:val="20"/>
              </w:rPr>
              <w:t>3.007</w:t>
            </w:r>
          </w:p>
          <w:p w:rsidR="00584117" w:rsidRDefault="00584117" w:rsidP="00A870ED">
            <w:pPr>
              <w:spacing w:after="0" w:line="240" w:lineRule="auto"/>
              <w:jc w:val="center"/>
              <w:rPr>
                <w:sz w:val="20"/>
              </w:rPr>
            </w:pPr>
          </w:p>
        </w:tc>
        <w:tc>
          <w:tcPr>
            <w:tcW w:w="590"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16.928</w:t>
            </w:r>
          </w:p>
          <w:p w:rsidR="00584117" w:rsidRDefault="00584117" w:rsidP="00A870ED">
            <w:pPr>
              <w:spacing w:after="0" w:line="240" w:lineRule="auto"/>
              <w:jc w:val="center"/>
              <w:rPr>
                <w:sz w:val="20"/>
              </w:rPr>
            </w:pPr>
          </w:p>
        </w:tc>
      </w:tr>
    </w:tbl>
    <w:p w:rsidR="00584117" w:rsidRDefault="00584117" w:rsidP="00584117">
      <w:pPr>
        <w:spacing w:after="0" w:line="480" w:lineRule="auto"/>
        <w:jc w:val="both"/>
      </w:pPr>
    </w:p>
    <w:p w:rsidR="00584117" w:rsidRDefault="00584117" w:rsidP="00584117">
      <w:pPr>
        <w:spacing w:after="0" w:line="480" w:lineRule="auto"/>
        <w:jc w:val="both"/>
        <w:rPr>
          <w:b/>
        </w:rPr>
      </w:pPr>
      <w:r w:rsidRPr="007C426C">
        <w:rPr>
          <w:b/>
        </w:rPr>
        <w:t xml:space="preserve">Table </w:t>
      </w:r>
      <w:r w:rsidR="00775769">
        <w:rPr>
          <w:b/>
        </w:rPr>
        <w:t>9</w:t>
      </w:r>
      <w:r w:rsidRPr="007C426C">
        <w:rPr>
          <w:b/>
        </w:rPr>
        <w:t xml:space="preserve">.  </w:t>
      </w:r>
    </w:p>
    <w:p w:rsidR="00584117" w:rsidRPr="00AC554D" w:rsidRDefault="00584117" w:rsidP="00584117">
      <w:pPr>
        <w:spacing w:after="0" w:line="480" w:lineRule="auto"/>
        <w:rPr>
          <w:b/>
        </w:rPr>
      </w:pPr>
      <w:r>
        <w:rPr>
          <w:b/>
        </w:rPr>
        <w:t xml:space="preserve">Median </w:t>
      </w:r>
      <w:r w:rsidRPr="00AC554D">
        <w:rPr>
          <w:b/>
        </w:rPr>
        <w:t xml:space="preserve">Recorded </w:t>
      </w:r>
      <w:r>
        <w:rPr>
          <w:b/>
        </w:rPr>
        <w:t>Repayment</w:t>
      </w:r>
      <w:r w:rsidRPr="00AC554D">
        <w:rPr>
          <w:b/>
        </w:rPr>
        <w:t xml:space="preserve"> </w:t>
      </w:r>
      <w:r>
        <w:rPr>
          <w:b/>
        </w:rPr>
        <w:t>b</w:t>
      </w:r>
      <w:r w:rsidRPr="00AC554D">
        <w:rPr>
          <w:b/>
        </w:rPr>
        <w:t>y Category</w:t>
      </w:r>
      <w:r>
        <w:rPr>
          <w:b/>
        </w:rPr>
        <w:t xml:space="preserve">, in </w:t>
      </w:r>
      <w:r>
        <w:rPr>
          <w:rFonts w:cs="Times New Roman"/>
          <w:b/>
        </w:rPr>
        <w:t>£</w:t>
      </w:r>
      <w:r>
        <w:rPr>
          <w:b/>
        </w:rPr>
        <w:t xml:space="preserve"> Lawful Money (1771)</w:t>
      </w:r>
    </w:p>
    <w:p w:rsidR="00584117" w:rsidRDefault="00584117" w:rsidP="00584117">
      <w:pPr>
        <w:spacing w:after="0" w:line="480" w:lineRule="auto"/>
        <w:jc w:val="both"/>
      </w:pPr>
    </w:p>
    <w:tbl>
      <w:tblPr>
        <w:tblW w:w="7714"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34"/>
        <w:gridCol w:w="1056"/>
        <w:gridCol w:w="945"/>
        <w:gridCol w:w="785"/>
        <w:gridCol w:w="690"/>
        <w:gridCol w:w="912"/>
        <w:gridCol w:w="912"/>
        <w:gridCol w:w="590"/>
        <w:gridCol w:w="590"/>
      </w:tblGrid>
      <w:tr w:rsidR="00584117" w:rsidTr="00A870ED">
        <w:trPr>
          <w:trHeight w:val="255"/>
          <w:jc w:val="center"/>
        </w:trPr>
        <w:tc>
          <w:tcPr>
            <w:tcW w:w="1234" w:type="dxa"/>
            <w:tcBorders>
              <w:bottom w:val="single" w:sz="6" w:space="0" w:color="808080"/>
            </w:tcBorders>
            <w:vAlign w:val="bottom"/>
          </w:tcPr>
          <w:p w:rsidR="00584117" w:rsidRDefault="00584117" w:rsidP="00A870ED">
            <w:pPr>
              <w:spacing w:after="0" w:line="240" w:lineRule="auto"/>
              <w:jc w:val="both"/>
              <w:rPr>
                <w:b/>
                <w:bCs/>
                <w:sz w:val="20"/>
              </w:rPr>
            </w:pPr>
          </w:p>
        </w:tc>
        <w:tc>
          <w:tcPr>
            <w:tcW w:w="1056"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Overall</w:t>
            </w:r>
          </w:p>
        </w:tc>
        <w:tc>
          <w:tcPr>
            <w:tcW w:w="945" w:type="dxa"/>
            <w:tcBorders>
              <w:bottom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b/>
                <w:bCs/>
                <w:sz w:val="20"/>
              </w:rPr>
            </w:pPr>
            <w:r>
              <w:rPr>
                <w:b/>
                <w:bCs/>
                <w:sz w:val="20"/>
              </w:rPr>
              <w:t>Cash</w:t>
            </w:r>
          </w:p>
        </w:tc>
        <w:tc>
          <w:tcPr>
            <w:tcW w:w="785" w:type="dxa"/>
            <w:tcBorders>
              <w:bottom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b/>
                <w:bCs/>
                <w:sz w:val="20"/>
              </w:rPr>
            </w:pPr>
            <w:r>
              <w:rPr>
                <w:b/>
                <w:bCs/>
                <w:sz w:val="20"/>
              </w:rPr>
              <w:t>Personal Notes</w:t>
            </w:r>
          </w:p>
        </w:tc>
        <w:tc>
          <w:tcPr>
            <w:tcW w:w="690" w:type="dxa"/>
            <w:tcBorders>
              <w:bottom w:val="single" w:sz="6" w:space="0" w:color="808080"/>
            </w:tcBorders>
            <w:noWrap/>
            <w:tcMar>
              <w:top w:w="20" w:type="dxa"/>
              <w:left w:w="20" w:type="dxa"/>
              <w:bottom w:w="0" w:type="dxa"/>
              <w:right w:w="20" w:type="dxa"/>
            </w:tcMar>
            <w:vAlign w:val="bottom"/>
          </w:tcPr>
          <w:p w:rsidR="00584117" w:rsidRDefault="00702BC3" w:rsidP="00A870ED">
            <w:pPr>
              <w:spacing w:after="0" w:line="240" w:lineRule="auto"/>
              <w:jc w:val="center"/>
              <w:rPr>
                <w:b/>
                <w:bCs/>
                <w:sz w:val="20"/>
              </w:rPr>
            </w:pPr>
            <w:r>
              <w:rPr>
                <w:b/>
                <w:bCs/>
                <w:sz w:val="20"/>
              </w:rPr>
              <w:t>Third-party</w:t>
            </w:r>
            <w:r w:rsidR="00584117">
              <w:rPr>
                <w:b/>
                <w:bCs/>
                <w:sz w:val="20"/>
              </w:rPr>
              <w:t xml:space="preserve"> Notes</w:t>
            </w:r>
          </w:p>
        </w:tc>
        <w:tc>
          <w:tcPr>
            <w:tcW w:w="912"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Goods</w:t>
            </w:r>
          </w:p>
        </w:tc>
        <w:tc>
          <w:tcPr>
            <w:tcW w:w="912"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Reckoning</w:t>
            </w:r>
          </w:p>
        </w:tc>
        <w:tc>
          <w:tcPr>
            <w:tcW w:w="590" w:type="dxa"/>
            <w:tcBorders>
              <w:bottom w:val="single" w:sz="6" w:space="0" w:color="808080"/>
            </w:tcBorders>
            <w:vAlign w:val="bottom"/>
          </w:tcPr>
          <w:p w:rsidR="00584117" w:rsidRDefault="00584117" w:rsidP="00A870ED">
            <w:pPr>
              <w:spacing w:after="0" w:line="240" w:lineRule="auto"/>
              <w:jc w:val="center"/>
              <w:rPr>
                <w:b/>
                <w:bCs/>
                <w:sz w:val="20"/>
              </w:rPr>
            </w:pPr>
            <w:r>
              <w:rPr>
                <w:b/>
                <w:bCs/>
                <w:sz w:val="20"/>
              </w:rPr>
              <w:t>Labor</w:t>
            </w:r>
          </w:p>
        </w:tc>
        <w:tc>
          <w:tcPr>
            <w:tcW w:w="590" w:type="dxa"/>
            <w:tcBorders>
              <w:bottom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b/>
                <w:bCs/>
                <w:sz w:val="20"/>
              </w:rPr>
            </w:pPr>
            <w:r>
              <w:rPr>
                <w:b/>
                <w:bCs/>
                <w:sz w:val="20"/>
              </w:rPr>
              <w:t>Bond</w:t>
            </w:r>
          </w:p>
        </w:tc>
      </w:tr>
      <w:tr w:rsidR="00584117" w:rsidTr="00A870ED">
        <w:trPr>
          <w:trHeight w:val="255"/>
          <w:jc w:val="center"/>
        </w:trPr>
        <w:tc>
          <w:tcPr>
            <w:tcW w:w="1234" w:type="dxa"/>
            <w:tcBorders>
              <w:top w:val="single" w:sz="6" w:space="0" w:color="808080"/>
            </w:tcBorders>
            <w:vAlign w:val="bottom"/>
          </w:tcPr>
          <w:p w:rsidR="00584117" w:rsidRDefault="00584117" w:rsidP="00A870ED">
            <w:pPr>
              <w:spacing w:after="0" w:line="240" w:lineRule="auto"/>
              <w:jc w:val="both"/>
              <w:rPr>
                <w:b/>
                <w:bCs/>
                <w:sz w:val="20"/>
              </w:rPr>
            </w:pPr>
            <w:r>
              <w:rPr>
                <w:b/>
                <w:bCs/>
                <w:sz w:val="20"/>
              </w:rPr>
              <w:t xml:space="preserve">Connecticut </w:t>
            </w:r>
          </w:p>
          <w:p w:rsidR="00584117" w:rsidRDefault="00584117" w:rsidP="00A870ED">
            <w:pPr>
              <w:spacing w:after="0" w:line="240" w:lineRule="auto"/>
              <w:jc w:val="both"/>
              <w:rPr>
                <w:b/>
                <w:bCs/>
                <w:sz w:val="20"/>
              </w:rPr>
            </w:pPr>
          </w:p>
        </w:tc>
        <w:tc>
          <w:tcPr>
            <w:tcW w:w="1056" w:type="dxa"/>
            <w:tcBorders>
              <w:top w:val="single" w:sz="6" w:space="0" w:color="808080"/>
            </w:tcBorders>
            <w:vAlign w:val="bottom"/>
          </w:tcPr>
          <w:p w:rsidR="00584117" w:rsidRDefault="00584117" w:rsidP="00A870ED">
            <w:pPr>
              <w:spacing w:after="0" w:line="240" w:lineRule="auto"/>
              <w:jc w:val="center"/>
              <w:rPr>
                <w:sz w:val="20"/>
              </w:rPr>
            </w:pPr>
          </w:p>
          <w:p w:rsidR="00584117" w:rsidRDefault="00584117" w:rsidP="00A870ED">
            <w:pPr>
              <w:spacing w:after="0" w:line="240" w:lineRule="auto"/>
              <w:jc w:val="center"/>
              <w:rPr>
                <w:sz w:val="20"/>
              </w:rPr>
            </w:pPr>
            <w:r>
              <w:rPr>
                <w:sz w:val="20"/>
              </w:rPr>
              <w:t>0.368</w:t>
            </w:r>
          </w:p>
          <w:p w:rsidR="00584117" w:rsidRDefault="00584117" w:rsidP="00A870ED">
            <w:pPr>
              <w:spacing w:after="0" w:line="240" w:lineRule="auto"/>
              <w:jc w:val="center"/>
              <w:rPr>
                <w:sz w:val="20"/>
              </w:rPr>
            </w:pPr>
          </w:p>
        </w:tc>
        <w:tc>
          <w:tcPr>
            <w:tcW w:w="945"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0.477</w:t>
            </w:r>
          </w:p>
          <w:p w:rsidR="00584117" w:rsidRDefault="00584117" w:rsidP="00A870ED">
            <w:pPr>
              <w:spacing w:after="0" w:line="240" w:lineRule="auto"/>
              <w:jc w:val="center"/>
              <w:rPr>
                <w:sz w:val="20"/>
              </w:rPr>
            </w:pPr>
          </w:p>
        </w:tc>
        <w:tc>
          <w:tcPr>
            <w:tcW w:w="785"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1.905</w:t>
            </w:r>
          </w:p>
          <w:p w:rsidR="00584117" w:rsidRDefault="00584117" w:rsidP="00A870ED">
            <w:pPr>
              <w:spacing w:after="0" w:line="240" w:lineRule="auto"/>
              <w:jc w:val="center"/>
              <w:rPr>
                <w:sz w:val="20"/>
              </w:rPr>
            </w:pPr>
          </w:p>
        </w:tc>
        <w:tc>
          <w:tcPr>
            <w:tcW w:w="690"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0.412</w:t>
            </w:r>
          </w:p>
          <w:p w:rsidR="00584117" w:rsidRDefault="00584117" w:rsidP="00A870ED">
            <w:pPr>
              <w:spacing w:after="0" w:line="240" w:lineRule="auto"/>
              <w:jc w:val="center"/>
              <w:rPr>
                <w:sz w:val="20"/>
              </w:rPr>
            </w:pPr>
          </w:p>
        </w:tc>
        <w:tc>
          <w:tcPr>
            <w:tcW w:w="912" w:type="dxa"/>
            <w:tcBorders>
              <w:top w:val="single" w:sz="6" w:space="0" w:color="808080"/>
            </w:tcBorders>
            <w:vAlign w:val="bottom"/>
          </w:tcPr>
          <w:p w:rsidR="00584117" w:rsidRDefault="00584117" w:rsidP="00A870ED">
            <w:pPr>
              <w:spacing w:after="0" w:line="240" w:lineRule="auto"/>
              <w:jc w:val="center"/>
              <w:rPr>
                <w:sz w:val="20"/>
              </w:rPr>
            </w:pPr>
            <w:r>
              <w:rPr>
                <w:sz w:val="20"/>
              </w:rPr>
              <w:t>0.339</w:t>
            </w:r>
          </w:p>
          <w:p w:rsidR="00584117" w:rsidRDefault="00584117" w:rsidP="00A870ED">
            <w:pPr>
              <w:spacing w:after="0" w:line="240" w:lineRule="auto"/>
              <w:jc w:val="center"/>
              <w:rPr>
                <w:sz w:val="20"/>
              </w:rPr>
            </w:pPr>
          </w:p>
        </w:tc>
        <w:tc>
          <w:tcPr>
            <w:tcW w:w="912" w:type="dxa"/>
            <w:tcBorders>
              <w:top w:val="single" w:sz="6" w:space="0" w:color="808080"/>
            </w:tcBorders>
            <w:vAlign w:val="bottom"/>
          </w:tcPr>
          <w:p w:rsidR="00584117" w:rsidRDefault="00584117" w:rsidP="00A870ED">
            <w:pPr>
              <w:spacing w:after="0" w:line="240" w:lineRule="auto"/>
              <w:jc w:val="center"/>
              <w:rPr>
                <w:sz w:val="20"/>
              </w:rPr>
            </w:pPr>
            <w:r>
              <w:rPr>
                <w:sz w:val="20"/>
              </w:rPr>
              <w:t>0.145</w:t>
            </w:r>
          </w:p>
          <w:p w:rsidR="00584117" w:rsidRDefault="00584117" w:rsidP="00A870ED">
            <w:pPr>
              <w:spacing w:after="0" w:line="240" w:lineRule="auto"/>
              <w:jc w:val="center"/>
              <w:rPr>
                <w:sz w:val="20"/>
              </w:rPr>
            </w:pPr>
          </w:p>
        </w:tc>
        <w:tc>
          <w:tcPr>
            <w:tcW w:w="590" w:type="dxa"/>
            <w:tcBorders>
              <w:top w:val="single" w:sz="6" w:space="0" w:color="808080"/>
            </w:tcBorders>
            <w:vAlign w:val="bottom"/>
          </w:tcPr>
          <w:p w:rsidR="00584117" w:rsidRDefault="00584117" w:rsidP="00A870ED">
            <w:pPr>
              <w:spacing w:after="0" w:line="240" w:lineRule="auto"/>
              <w:jc w:val="center"/>
              <w:rPr>
                <w:sz w:val="20"/>
              </w:rPr>
            </w:pPr>
            <w:r>
              <w:rPr>
                <w:sz w:val="20"/>
              </w:rPr>
              <w:t>0.142</w:t>
            </w:r>
          </w:p>
          <w:p w:rsidR="00584117" w:rsidRDefault="00584117" w:rsidP="00A870ED">
            <w:pPr>
              <w:spacing w:after="0" w:line="240" w:lineRule="auto"/>
              <w:jc w:val="center"/>
              <w:rPr>
                <w:sz w:val="20"/>
              </w:rPr>
            </w:pPr>
          </w:p>
        </w:tc>
        <w:tc>
          <w:tcPr>
            <w:tcW w:w="590" w:type="dxa"/>
            <w:tcBorders>
              <w:top w:val="single" w:sz="6" w:space="0" w:color="808080"/>
            </w:tcBorders>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NA</w:t>
            </w:r>
          </w:p>
          <w:p w:rsidR="00584117" w:rsidRDefault="00584117" w:rsidP="00A870ED">
            <w:pPr>
              <w:spacing w:after="0" w:line="240" w:lineRule="auto"/>
              <w:jc w:val="center"/>
              <w:rPr>
                <w:sz w:val="20"/>
              </w:rPr>
            </w:pPr>
          </w:p>
        </w:tc>
      </w:tr>
      <w:tr w:rsidR="00584117" w:rsidTr="00A870ED">
        <w:trPr>
          <w:trHeight w:val="255"/>
          <w:jc w:val="center"/>
        </w:trPr>
        <w:tc>
          <w:tcPr>
            <w:tcW w:w="1234" w:type="dxa"/>
            <w:vAlign w:val="bottom"/>
          </w:tcPr>
          <w:p w:rsidR="00584117" w:rsidRDefault="00584117" w:rsidP="00A870ED">
            <w:pPr>
              <w:spacing w:after="0" w:line="240" w:lineRule="auto"/>
              <w:jc w:val="both"/>
              <w:rPr>
                <w:b/>
                <w:bCs/>
                <w:sz w:val="20"/>
              </w:rPr>
            </w:pPr>
            <w:r>
              <w:rPr>
                <w:b/>
                <w:bCs/>
                <w:sz w:val="20"/>
              </w:rPr>
              <w:t>Massachusetts</w:t>
            </w:r>
          </w:p>
          <w:p w:rsidR="00584117" w:rsidRDefault="00584117" w:rsidP="00A870ED">
            <w:pPr>
              <w:spacing w:after="0" w:line="240" w:lineRule="auto"/>
              <w:jc w:val="both"/>
              <w:rPr>
                <w:b/>
                <w:bCs/>
                <w:sz w:val="20"/>
              </w:rPr>
            </w:pPr>
          </w:p>
        </w:tc>
        <w:tc>
          <w:tcPr>
            <w:tcW w:w="1056" w:type="dxa"/>
            <w:vAlign w:val="bottom"/>
          </w:tcPr>
          <w:p w:rsidR="00584117" w:rsidRDefault="00584117" w:rsidP="00A870ED">
            <w:pPr>
              <w:spacing w:after="0" w:line="240" w:lineRule="auto"/>
              <w:jc w:val="center"/>
              <w:rPr>
                <w:sz w:val="20"/>
              </w:rPr>
            </w:pPr>
          </w:p>
          <w:p w:rsidR="00584117" w:rsidRDefault="00584117" w:rsidP="00A870ED">
            <w:pPr>
              <w:spacing w:after="0" w:line="240" w:lineRule="auto"/>
              <w:jc w:val="center"/>
              <w:rPr>
                <w:sz w:val="20"/>
              </w:rPr>
            </w:pPr>
            <w:r>
              <w:rPr>
                <w:sz w:val="20"/>
              </w:rPr>
              <w:t>3.323</w:t>
            </w:r>
          </w:p>
          <w:p w:rsidR="00584117" w:rsidRDefault="00584117" w:rsidP="00A870ED">
            <w:pPr>
              <w:spacing w:after="0" w:line="240" w:lineRule="auto"/>
              <w:jc w:val="center"/>
              <w:rPr>
                <w:sz w:val="20"/>
              </w:rPr>
            </w:pPr>
          </w:p>
        </w:tc>
        <w:tc>
          <w:tcPr>
            <w:tcW w:w="945"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4.598</w:t>
            </w:r>
          </w:p>
          <w:p w:rsidR="00584117" w:rsidRDefault="00584117" w:rsidP="00A870ED">
            <w:pPr>
              <w:spacing w:after="0" w:line="240" w:lineRule="auto"/>
              <w:jc w:val="center"/>
              <w:rPr>
                <w:sz w:val="20"/>
              </w:rPr>
            </w:pPr>
          </w:p>
        </w:tc>
        <w:tc>
          <w:tcPr>
            <w:tcW w:w="785"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16.025</w:t>
            </w:r>
          </w:p>
          <w:p w:rsidR="00584117" w:rsidRDefault="00584117" w:rsidP="00A870ED">
            <w:pPr>
              <w:spacing w:after="0" w:line="240" w:lineRule="auto"/>
              <w:jc w:val="center"/>
              <w:rPr>
                <w:sz w:val="20"/>
              </w:rPr>
            </w:pPr>
          </w:p>
        </w:tc>
        <w:tc>
          <w:tcPr>
            <w:tcW w:w="690"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19.240</w:t>
            </w:r>
          </w:p>
          <w:p w:rsidR="00584117" w:rsidRDefault="00584117" w:rsidP="00A870ED">
            <w:pPr>
              <w:spacing w:after="0" w:line="240" w:lineRule="auto"/>
              <w:jc w:val="center"/>
              <w:rPr>
                <w:sz w:val="20"/>
              </w:rPr>
            </w:pPr>
          </w:p>
        </w:tc>
        <w:tc>
          <w:tcPr>
            <w:tcW w:w="912" w:type="dxa"/>
            <w:vAlign w:val="bottom"/>
          </w:tcPr>
          <w:p w:rsidR="00584117" w:rsidRDefault="00584117" w:rsidP="00A870ED">
            <w:pPr>
              <w:spacing w:after="0" w:line="240" w:lineRule="auto"/>
              <w:jc w:val="center"/>
              <w:rPr>
                <w:sz w:val="20"/>
              </w:rPr>
            </w:pPr>
            <w:r>
              <w:rPr>
                <w:sz w:val="20"/>
              </w:rPr>
              <w:t>2.078</w:t>
            </w:r>
          </w:p>
          <w:p w:rsidR="00584117" w:rsidRDefault="00584117" w:rsidP="00A870ED">
            <w:pPr>
              <w:spacing w:after="0" w:line="240" w:lineRule="auto"/>
              <w:jc w:val="center"/>
              <w:rPr>
                <w:sz w:val="20"/>
              </w:rPr>
            </w:pPr>
          </w:p>
        </w:tc>
        <w:tc>
          <w:tcPr>
            <w:tcW w:w="912" w:type="dxa"/>
            <w:vAlign w:val="bottom"/>
          </w:tcPr>
          <w:p w:rsidR="00584117" w:rsidRDefault="00584117" w:rsidP="00A870ED">
            <w:pPr>
              <w:spacing w:after="0" w:line="240" w:lineRule="auto"/>
              <w:jc w:val="center"/>
              <w:rPr>
                <w:sz w:val="20"/>
              </w:rPr>
            </w:pPr>
            <w:r>
              <w:rPr>
                <w:sz w:val="20"/>
              </w:rPr>
              <w:t>5.027</w:t>
            </w:r>
          </w:p>
          <w:p w:rsidR="00584117" w:rsidRDefault="00584117" w:rsidP="00A870ED">
            <w:pPr>
              <w:spacing w:after="0" w:line="240" w:lineRule="auto"/>
              <w:jc w:val="center"/>
              <w:rPr>
                <w:sz w:val="20"/>
              </w:rPr>
            </w:pPr>
          </w:p>
        </w:tc>
        <w:tc>
          <w:tcPr>
            <w:tcW w:w="590" w:type="dxa"/>
            <w:vAlign w:val="bottom"/>
          </w:tcPr>
          <w:p w:rsidR="00584117" w:rsidRDefault="00584117" w:rsidP="00A870ED">
            <w:pPr>
              <w:spacing w:after="0" w:line="240" w:lineRule="auto"/>
              <w:jc w:val="center"/>
              <w:rPr>
                <w:sz w:val="20"/>
              </w:rPr>
            </w:pPr>
            <w:r>
              <w:rPr>
                <w:sz w:val="20"/>
              </w:rPr>
              <w:t>1.061</w:t>
            </w:r>
          </w:p>
          <w:p w:rsidR="00584117" w:rsidRDefault="00584117" w:rsidP="00A870ED">
            <w:pPr>
              <w:spacing w:after="0" w:line="240" w:lineRule="auto"/>
              <w:jc w:val="center"/>
              <w:rPr>
                <w:sz w:val="20"/>
              </w:rPr>
            </w:pPr>
          </w:p>
        </w:tc>
        <w:tc>
          <w:tcPr>
            <w:tcW w:w="590" w:type="dxa"/>
            <w:noWrap/>
            <w:tcMar>
              <w:top w:w="20" w:type="dxa"/>
              <w:left w:w="20" w:type="dxa"/>
              <w:bottom w:w="0" w:type="dxa"/>
              <w:right w:w="20" w:type="dxa"/>
            </w:tcMar>
            <w:vAlign w:val="bottom"/>
          </w:tcPr>
          <w:p w:rsidR="00584117" w:rsidRDefault="00584117" w:rsidP="00A870ED">
            <w:pPr>
              <w:spacing w:after="0" w:line="240" w:lineRule="auto"/>
              <w:jc w:val="center"/>
              <w:rPr>
                <w:sz w:val="20"/>
              </w:rPr>
            </w:pPr>
            <w:r>
              <w:rPr>
                <w:sz w:val="20"/>
              </w:rPr>
              <w:t>25.848</w:t>
            </w:r>
          </w:p>
          <w:p w:rsidR="00584117" w:rsidRDefault="00584117" w:rsidP="00A870ED">
            <w:pPr>
              <w:spacing w:after="0" w:line="240" w:lineRule="auto"/>
              <w:jc w:val="center"/>
              <w:rPr>
                <w:sz w:val="20"/>
              </w:rPr>
            </w:pPr>
          </w:p>
        </w:tc>
      </w:tr>
    </w:tbl>
    <w:p w:rsidR="00584117" w:rsidRDefault="00584117" w:rsidP="00584117">
      <w:pPr>
        <w:spacing w:after="0" w:line="480" w:lineRule="auto"/>
        <w:jc w:val="both"/>
      </w:pPr>
    </w:p>
    <w:p w:rsidR="00584117" w:rsidRDefault="00584117" w:rsidP="00584117">
      <w:pPr>
        <w:spacing w:after="0" w:line="480" w:lineRule="auto"/>
        <w:jc w:val="both"/>
        <w:rPr>
          <w:b/>
        </w:rPr>
      </w:pPr>
      <w:r w:rsidRPr="007C426C">
        <w:rPr>
          <w:b/>
        </w:rPr>
        <w:t xml:space="preserve">Table </w:t>
      </w:r>
      <w:r w:rsidR="00775769">
        <w:rPr>
          <w:b/>
        </w:rPr>
        <w:t>10</w:t>
      </w:r>
      <w:r w:rsidRPr="007C426C">
        <w:rPr>
          <w:b/>
        </w:rPr>
        <w:t xml:space="preserve">.  </w:t>
      </w:r>
    </w:p>
    <w:p w:rsidR="00584117" w:rsidRPr="00AC554D" w:rsidRDefault="00584117" w:rsidP="00584117">
      <w:pPr>
        <w:spacing w:after="0" w:line="480" w:lineRule="auto"/>
        <w:rPr>
          <w:b/>
        </w:rPr>
      </w:pPr>
      <w:r>
        <w:rPr>
          <w:b/>
        </w:rPr>
        <w:t xml:space="preserve">Percentage of Total </w:t>
      </w:r>
      <w:r>
        <w:rPr>
          <w:rFonts w:cs="Times New Roman"/>
          <w:b/>
        </w:rPr>
        <w:t>£</w:t>
      </w:r>
      <w:r>
        <w:rPr>
          <w:b/>
        </w:rPr>
        <w:t xml:space="preserve"> Lawful Money (1771) Recorded Repayments, by Category</w:t>
      </w:r>
    </w:p>
    <w:p w:rsidR="00584117" w:rsidRDefault="00584117" w:rsidP="00584117">
      <w:pPr>
        <w:spacing w:after="0" w:line="480" w:lineRule="auto"/>
        <w:jc w:val="both"/>
      </w:pPr>
    </w:p>
    <w:tbl>
      <w:tblPr>
        <w:tblW w:w="6658"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34"/>
        <w:gridCol w:w="945"/>
        <w:gridCol w:w="785"/>
        <w:gridCol w:w="690"/>
        <w:gridCol w:w="912"/>
        <w:gridCol w:w="912"/>
        <w:gridCol w:w="590"/>
        <w:gridCol w:w="590"/>
      </w:tblGrid>
      <w:tr w:rsidR="00516DAF" w:rsidTr="00516DAF">
        <w:trPr>
          <w:trHeight w:val="255"/>
          <w:jc w:val="center"/>
        </w:trPr>
        <w:tc>
          <w:tcPr>
            <w:tcW w:w="1234" w:type="dxa"/>
            <w:tcBorders>
              <w:bottom w:val="single" w:sz="6" w:space="0" w:color="808080"/>
            </w:tcBorders>
            <w:vAlign w:val="bottom"/>
          </w:tcPr>
          <w:p w:rsidR="00516DAF" w:rsidRDefault="00516DAF" w:rsidP="00A870ED">
            <w:pPr>
              <w:spacing w:after="0" w:line="240" w:lineRule="auto"/>
              <w:jc w:val="both"/>
              <w:rPr>
                <w:b/>
                <w:bCs/>
                <w:sz w:val="20"/>
              </w:rPr>
            </w:pPr>
          </w:p>
        </w:tc>
        <w:tc>
          <w:tcPr>
            <w:tcW w:w="945" w:type="dxa"/>
            <w:tcBorders>
              <w:bottom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b/>
                <w:bCs/>
                <w:sz w:val="20"/>
              </w:rPr>
            </w:pPr>
            <w:r>
              <w:rPr>
                <w:b/>
                <w:bCs/>
                <w:sz w:val="20"/>
              </w:rPr>
              <w:t>Cash</w:t>
            </w:r>
          </w:p>
        </w:tc>
        <w:tc>
          <w:tcPr>
            <w:tcW w:w="785" w:type="dxa"/>
            <w:tcBorders>
              <w:bottom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b/>
                <w:bCs/>
                <w:sz w:val="20"/>
              </w:rPr>
            </w:pPr>
            <w:r>
              <w:rPr>
                <w:b/>
                <w:bCs/>
                <w:sz w:val="20"/>
              </w:rPr>
              <w:t>Personal Notes</w:t>
            </w:r>
          </w:p>
        </w:tc>
        <w:tc>
          <w:tcPr>
            <w:tcW w:w="690" w:type="dxa"/>
            <w:tcBorders>
              <w:bottom w:val="single" w:sz="6" w:space="0" w:color="808080"/>
            </w:tcBorders>
            <w:noWrap/>
            <w:tcMar>
              <w:top w:w="20" w:type="dxa"/>
              <w:left w:w="20" w:type="dxa"/>
              <w:bottom w:w="0" w:type="dxa"/>
              <w:right w:w="20" w:type="dxa"/>
            </w:tcMar>
            <w:vAlign w:val="bottom"/>
          </w:tcPr>
          <w:p w:rsidR="00516DAF" w:rsidRDefault="00702BC3" w:rsidP="00A870ED">
            <w:pPr>
              <w:spacing w:after="0" w:line="240" w:lineRule="auto"/>
              <w:jc w:val="center"/>
              <w:rPr>
                <w:b/>
                <w:bCs/>
                <w:sz w:val="20"/>
              </w:rPr>
            </w:pPr>
            <w:r>
              <w:rPr>
                <w:b/>
                <w:bCs/>
                <w:sz w:val="20"/>
              </w:rPr>
              <w:t>Third-party</w:t>
            </w:r>
            <w:r w:rsidR="00516DAF">
              <w:rPr>
                <w:b/>
                <w:bCs/>
                <w:sz w:val="20"/>
              </w:rPr>
              <w:t xml:space="preserve"> Notes</w:t>
            </w:r>
          </w:p>
        </w:tc>
        <w:tc>
          <w:tcPr>
            <w:tcW w:w="912" w:type="dxa"/>
            <w:tcBorders>
              <w:bottom w:val="single" w:sz="6" w:space="0" w:color="808080"/>
            </w:tcBorders>
            <w:vAlign w:val="bottom"/>
          </w:tcPr>
          <w:p w:rsidR="00516DAF" w:rsidRDefault="00516DAF" w:rsidP="00A870ED">
            <w:pPr>
              <w:spacing w:after="0" w:line="240" w:lineRule="auto"/>
              <w:jc w:val="center"/>
              <w:rPr>
                <w:b/>
                <w:bCs/>
                <w:sz w:val="20"/>
              </w:rPr>
            </w:pPr>
            <w:r>
              <w:rPr>
                <w:b/>
                <w:bCs/>
                <w:sz w:val="20"/>
              </w:rPr>
              <w:t>Goods</w:t>
            </w:r>
          </w:p>
        </w:tc>
        <w:tc>
          <w:tcPr>
            <w:tcW w:w="912" w:type="dxa"/>
            <w:tcBorders>
              <w:bottom w:val="single" w:sz="6" w:space="0" w:color="808080"/>
            </w:tcBorders>
            <w:vAlign w:val="bottom"/>
          </w:tcPr>
          <w:p w:rsidR="00516DAF" w:rsidRDefault="00516DAF" w:rsidP="00A870ED">
            <w:pPr>
              <w:spacing w:after="0" w:line="240" w:lineRule="auto"/>
              <w:jc w:val="center"/>
              <w:rPr>
                <w:b/>
                <w:bCs/>
                <w:sz w:val="20"/>
              </w:rPr>
            </w:pPr>
            <w:r>
              <w:rPr>
                <w:b/>
                <w:bCs/>
                <w:sz w:val="20"/>
              </w:rPr>
              <w:t>Reckoning</w:t>
            </w:r>
          </w:p>
        </w:tc>
        <w:tc>
          <w:tcPr>
            <w:tcW w:w="590" w:type="dxa"/>
            <w:tcBorders>
              <w:bottom w:val="single" w:sz="6" w:space="0" w:color="808080"/>
            </w:tcBorders>
            <w:vAlign w:val="bottom"/>
          </w:tcPr>
          <w:p w:rsidR="00516DAF" w:rsidRDefault="00516DAF" w:rsidP="00A870ED">
            <w:pPr>
              <w:spacing w:after="0" w:line="240" w:lineRule="auto"/>
              <w:jc w:val="center"/>
              <w:rPr>
                <w:b/>
                <w:bCs/>
                <w:sz w:val="20"/>
              </w:rPr>
            </w:pPr>
            <w:r>
              <w:rPr>
                <w:b/>
                <w:bCs/>
                <w:sz w:val="20"/>
              </w:rPr>
              <w:t>Labor</w:t>
            </w:r>
          </w:p>
        </w:tc>
        <w:tc>
          <w:tcPr>
            <w:tcW w:w="590" w:type="dxa"/>
            <w:tcBorders>
              <w:bottom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b/>
                <w:bCs/>
                <w:sz w:val="20"/>
              </w:rPr>
            </w:pPr>
            <w:r>
              <w:rPr>
                <w:b/>
                <w:bCs/>
                <w:sz w:val="20"/>
              </w:rPr>
              <w:t>Bond</w:t>
            </w:r>
          </w:p>
        </w:tc>
      </w:tr>
      <w:tr w:rsidR="00516DAF" w:rsidTr="00516DAF">
        <w:trPr>
          <w:trHeight w:val="255"/>
          <w:jc w:val="center"/>
        </w:trPr>
        <w:tc>
          <w:tcPr>
            <w:tcW w:w="1234" w:type="dxa"/>
            <w:tcBorders>
              <w:top w:val="single" w:sz="6" w:space="0" w:color="808080"/>
            </w:tcBorders>
            <w:vAlign w:val="bottom"/>
          </w:tcPr>
          <w:p w:rsidR="00516DAF" w:rsidRDefault="00516DAF" w:rsidP="00A870ED">
            <w:pPr>
              <w:spacing w:after="0" w:line="240" w:lineRule="auto"/>
              <w:jc w:val="both"/>
              <w:rPr>
                <w:b/>
                <w:bCs/>
                <w:sz w:val="20"/>
              </w:rPr>
            </w:pPr>
          </w:p>
          <w:p w:rsidR="00516DAF" w:rsidRDefault="00516DAF" w:rsidP="00A870ED">
            <w:pPr>
              <w:spacing w:after="0" w:line="240" w:lineRule="auto"/>
              <w:jc w:val="both"/>
              <w:rPr>
                <w:b/>
                <w:bCs/>
                <w:sz w:val="20"/>
              </w:rPr>
            </w:pPr>
            <w:r>
              <w:rPr>
                <w:b/>
                <w:bCs/>
                <w:sz w:val="20"/>
              </w:rPr>
              <w:t xml:space="preserve">Connecticut </w:t>
            </w:r>
          </w:p>
          <w:p w:rsidR="00516DAF" w:rsidRDefault="00516DAF" w:rsidP="00A870ED">
            <w:pPr>
              <w:spacing w:after="0" w:line="240" w:lineRule="auto"/>
              <w:jc w:val="both"/>
              <w:rPr>
                <w:b/>
                <w:bCs/>
                <w:sz w:val="20"/>
              </w:rPr>
            </w:pPr>
          </w:p>
        </w:tc>
        <w:tc>
          <w:tcPr>
            <w:tcW w:w="945" w:type="dxa"/>
            <w:tcBorders>
              <w:top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sz w:val="20"/>
              </w:rPr>
            </w:pPr>
            <w:r>
              <w:rPr>
                <w:sz w:val="20"/>
              </w:rPr>
              <w:t>36.5%</w:t>
            </w:r>
          </w:p>
          <w:p w:rsidR="00516DAF" w:rsidRDefault="00516DAF" w:rsidP="00A870ED">
            <w:pPr>
              <w:spacing w:after="0" w:line="240" w:lineRule="auto"/>
              <w:jc w:val="center"/>
              <w:rPr>
                <w:sz w:val="20"/>
              </w:rPr>
            </w:pPr>
          </w:p>
        </w:tc>
        <w:tc>
          <w:tcPr>
            <w:tcW w:w="785" w:type="dxa"/>
            <w:tcBorders>
              <w:top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sz w:val="20"/>
              </w:rPr>
            </w:pPr>
            <w:r>
              <w:rPr>
                <w:sz w:val="20"/>
              </w:rPr>
              <w:t>11.8%</w:t>
            </w:r>
          </w:p>
          <w:p w:rsidR="00516DAF" w:rsidRDefault="00516DAF" w:rsidP="00A870ED">
            <w:pPr>
              <w:spacing w:after="0" w:line="240" w:lineRule="auto"/>
              <w:jc w:val="center"/>
              <w:rPr>
                <w:sz w:val="20"/>
              </w:rPr>
            </w:pPr>
          </w:p>
        </w:tc>
        <w:tc>
          <w:tcPr>
            <w:tcW w:w="690" w:type="dxa"/>
            <w:tcBorders>
              <w:top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sz w:val="20"/>
              </w:rPr>
            </w:pPr>
            <w:r>
              <w:rPr>
                <w:sz w:val="20"/>
              </w:rPr>
              <w:t>5.9%</w:t>
            </w:r>
          </w:p>
          <w:p w:rsidR="00516DAF" w:rsidRDefault="00516DAF" w:rsidP="00A870ED">
            <w:pPr>
              <w:spacing w:after="0" w:line="240" w:lineRule="auto"/>
              <w:jc w:val="center"/>
              <w:rPr>
                <w:sz w:val="20"/>
              </w:rPr>
            </w:pPr>
          </w:p>
        </w:tc>
        <w:tc>
          <w:tcPr>
            <w:tcW w:w="912" w:type="dxa"/>
            <w:tcBorders>
              <w:top w:val="single" w:sz="6" w:space="0" w:color="808080"/>
            </w:tcBorders>
            <w:vAlign w:val="bottom"/>
          </w:tcPr>
          <w:p w:rsidR="00516DAF" w:rsidRDefault="00516DAF" w:rsidP="00A870ED">
            <w:pPr>
              <w:spacing w:after="0" w:line="240" w:lineRule="auto"/>
              <w:jc w:val="center"/>
              <w:rPr>
                <w:sz w:val="20"/>
              </w:rPr>
            </w:pPr>
            <w:r>
              <w:rPr>
                <w:sz w:val="20"/>
              </w:rPr>
              <w:t>39.9%</w:t>
            </w:r>
          </w:p>
          <w:p w:rsidR="00516DAF" w:rsidRDefault="00516DAF" w:rsidP="00A870ED">
            <w:pPr>
              <w:spacing w:after="0" w:line="240" w:lineRule="auto"/>
              <w:jc w:val="center"/>
              <w:rPr>
                <w:sz w:val="20"/>
              </w:rPr>
            </w:pPr>
          </w:p>
        </w:tc>
        <w:tc>
          <w:tcPr>
            <w:tcW w:w="912" w:type="dxa"/>
            <w:tcBorders>
              <w:top w:val="single" w:sz="6" w:space="0" w:color="808080"/>
            </w:tcBorders>
            <w:vAlign w:val="bottom"/>
          </w:tcPr>
          <w:p w:rsidR="00516DAF" w:rsidRDefault="00516DAF" w:rsidP="00A870ED">
            <w:pPr>
              <w:spacing w:after="0" w:line="240" w:lineRule="auto"/>
              <w:jc w:val="center"/>
              <w:rPr>
                <w:sz w:val="20"/>
              </w:rPr>
            </w:pPr>
            <w:r>
              <w:rPr>
                <w:sz w:val="20"/>
              </w:rPr>
              <w:t>4.0%</w:t>
            </w:r>
          </w:p>
          <w:p w:rsidR="00516DAF" w:rsidRDefault="00516DAF" w:rsidP="00A870ED">
            <w:pPr>
              <w:spacing w:after="0" w:line="240" w:lineRule="auto"/>
              <w:jc w:val="center"/>
              <w:rPr>
                <w:sz w:val="20"/>
              </w:rPr>
            </w:pPr>
          </w:p>
        </w:tc>
        <w:tc>
          <w:tcPr>
            <w:tcW w:w="590" w:type="dxa"/>
            <w:tcBorders>
              <w:top w:val="single" w:sz="6" w:space="0" w:color="808080"/>
            </w:tcBorders>
            <w:vAlign w:val="bottom"/>
          </w:tcPr>
          <w:p w:rsidR="00516DAF" w:rsidRDefault="00516DAF" w:rsidP="00A870ED">
            <w:pPr>
              <w:spacing w:after="0" w:line="240" w:lineRule="auto"/>
              <w:jc w:val="center"/>
              <w:rPr>
                <w:sz w:val="20"/>
              </w:rPr>
            </w:pPr>
            <w:r>
              <w:rPr>
                <w:sz w:val="20"/>
              </w:rPr>
              <w:t>1.9%</w:t>
            </w:r>
          </w:p>
          <w:p w:rsidR="00516DAF" w:rsidRDefault="00516DAF" w:rsidP="00A870ED">
            <w:pPr>
              <w:spacing w:after="0" w:line="240" w:lineRule="auto"/>
              <w:jc w:val="center"/>
              <w:rPr>
                <w:sz w:val="20"/>
              </w:rPr>
            </w:pPr>
          </w:p>
        </w:tc>
        <w:tc>
          <w:tcPr>
            <w:tcW w:w="590" w:type="dxa"/>
            <w:tcBorders>
              <w:top w:val="single" w:sz="6" w:space="0" w:color="808080"/>
            </w:tcBorders>
            <w:noWrap/>
            <w:tcMar>
              <w:top w:w="20" w:type="dxa"/>
              <w:left w:w="20" w:type="dxa"/>
              <w:bottom w:w="0" w:type="dxa"/>
              <w:right w:w="20" w:type="dxa"/>
            </w:tcMar>
            <w:vAlign w:val="bottom"/>
          </w:tcPr>
          <w:p w:rsidR="00516DAF" w:rsidRDefault="00516DAF" w:rsidP="00A870ED">
            <w:pPr>
              <w:spacing w:after="0" w:line="240" w:lineRule="auto"/>
              <w:jc w:val="center"/>
              <w:rPr>
                <w:sz w:val="20"/>
              </w:rPr>
            </w:pPr>
            <w:r>
              <w:rPr>
                <w:sz w:val="20"/>
              </w:rPr>
              <w:t>NA</w:t>
            </w:r>
          </w:p>
          <w:p w:rsidR="00516DAF" w:rsidRDefault="00516DAF" w:rsidP="00A870ED">
            <w:pPr>
              <w:spacing w:after="0" w:line="240" w:lineRule="auto"/>
              <w:jc w:val="center"/>
              <w:rPr>
                <w:sz w:val="20"/>
              </w:rPr>
            </w:pPr>
          </w:p>
        </w:tc>
      </w:tr>
      <w:tr w:rsidR="00516DAF" w:rsidTr="00516DAF">
        <w:trPr>
          <w:trHeight w:val="255"/>
          <w:jc w:val="center"/>
        </w:trPr>
        <w:tc>
          <w:tcPr>
            <w:tcW w:w="1234" w:type="dxa"/>
            <w:vAlign w:val="bottom"/>
          </w:tcPr>
          <w:p w:rsidR="00516DAF" w:rsidRDefault="00516DAF" w:rsidP="00A870ED">
            <w:pPr>
              <w:spacing w:after="0" w:line="240" w:lineRule="auto"/>
              <w:jc w:val="both"/>
              <w:rPr>
                <w:b/>
                <w:bCs/>
                <w:sz w:val="20"/>
              </w:rPr>
            </w:pPr>
            <w:r>
              <w:rPr>
                <w:b/>
                <w:bCs/>
                <w:sz w:val="20"/>
              </w:rPr>
              <w:t>Massachusetts</w:t>
            </w:r>
          </w:p>
        </w:tc>
        <w:tc>
          <w:tcPr>
            <w:tcW w:w="945" w:type="dxa"/>
            <w:noWrap/>
            <w:tcMar>
              <w:top w:w="20" w:type="dxa"/>
              <w:left w:w="20" w:type="dxa"/>
              <w:bottom w:w="0" w:type="dxa"/>
              <w:right w:w="20" w:type="dxa"/>
            </w:tcMar>
            <w:vAlign w:val="bottom"/>
          </w:tcPr>
          <w:p w:rsidR="00516DAF" w:rsidRDefault="0017156F" w:rsidP="00A870ED">
            <w:pPr>
              <w:spacing w:after="0" w:line="240" w:lineRule="auto"/>
              <w:jc w:val="center"/>
              <w:rPr>
                <w:sz w:val="20"/>
              </w:rPr>
            </w:pPr>
            <w:r>
              <w:rPr>
                <w:sz w:val="20"/>
              </w:rPr>
              <w:t>43.9</w:t>
            </w:r>
            <w:r w:rsidR="00516DAF">
              <w:rPr>
                <w:sz w:val="20"/>
              </w:rPr>
              <w:t>%</w:t>
            </w:r>
          </w:p>
        </w:tc>
        <w:tc>
          <w:tcPr>
            <w:tcW w:w="785" w:type="dxa"/>
            <w:noWrap/>
            <w:tcMar>
              <w:top w:w="20" w:type="dxa"/>
              <w:left w:w="20" w:type="dxa"/>
              <w:bottom w:w="0" w:type="dxa"/>
              <w:right w:w="20" w:type="dxa"/>
            </w:tcMar>
            <w:vAlign w:val="bottom"/>
          </w:tcPr>
          <w:p w:rsidR="00516DAF" w:rsidRDefault="00516DAF" w:rsidP="0017156F">
            <w:pPr>
              <w:spacing w:after="0" w:line="240" w:lineRule="auto"/>
              <w:jc w:val="center"/>
              <w:rPr>
                <w:sz w:val="20"/>
              </w:rPr>
            </w:pPr>
            <w:r>
              <w:rPr>
                <w:sz w:val="20"/>
              </w:rPr>
              <w:t>3.</w:t>
            </w:r>
            <w:r w:rsidR="0017156F">
              <w:rPr>
                <w:sz w:val="20"/>
              </w:rPr>
              <w:t>5</w:t>
            </w:r>
            <w:r>
              <w:rPr>
                <w:sz w:val="20"/>
              </w:rPr>
              <w:t>%</w:t>
            </w:r>
          </w:p>
        </w:tc>
        <w:tc>
          <w:tcPr>
            <w:tcW w:w="690" w:type="dxa"/>
            <w:noWrap/>
            <w:tcMar>
              <w:top w:w="20" w:type="dxa"/>
              <w:left w:w="20" w:type="dxa"/>
              <w:bottom w:w="0" w:type="dxa"/>
              <w:right w:w="20" w:type="dxa"/>
            </w:tcMar>
            <w:vAlign w:val="bottom"/>
          </w:tcPr>
          <w:p w:rsidR="00516DAF" w:rsidRDefault="00516DAF" w:rsidP="0017156F">
            <w:pPr>
              <w:spacing w:after="0" w:line="240" w:lineRule="auto"/>
              <w:jc w:val="center"/>
              <w:rPr>
                <w:sz w:val="20"/>
              </w:rPr>
            </w:pPr>
            <w:r>
              <w:rPr>
                <w:sz w:val="20"/>
              </w:rPr>
              <w:t>19.</w:t>
            </w:r>
            <w:r w:rsidR="0017156F">
              <w:rPr>
                <w:sz w:val="20"/>
              </w:rPr>
              <w:t>1</w:t>
            </w:r>
            <w:r>
              <w:rPr>
                <w:sz w:val="20"/>
              </w:rPr>
              <w:t>%</w:t>
            </w:r>
          </w:p>
        </w:tc>
        <w:tc>
          <w:tcPr>
            <w:tcW w:w="912" w:type="dxa"/>
            <w:vAlign w:val="bottom"/>
          </w:tcPr>
          <w:p w:rsidR="00516DAF" w:rsidRDefault="00516DAF" w:rsidP="00A870ED">
            <w:pPr>
              <w:spacing w:after="0" w:line="240" w:lineRule="auto"/>
              <w:jc w:val="center"/>
              <w:rPr>
                <w:sz w:val="20"/>
              </w:rPr>
            </w:pPr>
            <w:r>
              <w:rPr>
                <w:sz w:val="20"/>
              </w:rPr>
              <w:t>23.6%</w:t>
            </w:r>
          </w:p>
        </w:tc>
        <w:tc>
          <w:tcPr>
            <w:tcW w:w="912" w:type="dxa"/>
            <w:vAlign w:val="bottom"/>
          </w:tcPr>
          <w:p w:rsidR="00516DAF" w:rsidRDefault="00516DAF" w:rsidP="00A870ED">
            <w:pPr>
              <w:spacing w:after="0" w:line="240" w:lineRule="auto"/>
              <w:jc w:val="center"/>
              <w:rPr>
                <w:sz w:val="20"/>
              </w:rPr>
            </w:pPr>
            <w:r>
              <w:rPr>
                <w:sz w:val="20"/>
              </w:rPr>
              <w:t>9.6%</w:t>
            </w:r>
          </w:p>
        </w:tc>
        <w:tc>
          <w:tcPr>
            <w:tcW w:w="590" w:type="dxa"/>
            <w:vAlign w:val="bottom"/>
          </w:tcPr>
          <w:p w:rsidR="00516DAF" w:rsidRDefault="00516DAF" w:rsidP="00A870ED">
            <w:pPr>
              <w:spacing w:after="0" w:line="240" w:lineRule="auto"/>
              <w:jc w:val="center"/>
              <w:rPr>
                <w:sz w:val="20"/>
              </w:rPr>
            </w:pPr>
            <w:r>
              <w:rPr>
                <w:sz w:val="20"/>
              </w:rPr>
              <w:t>0.2%</w:t>
            </w:r>
          </w:p>
        </w:tc>
        <w:tc>
          <w:tcPr>
            <w:tcW w:w="590" w:type="dxa"/>
            <w:noWrap/>
            <w:tcMar>
              <w:top w:w="20" w:type="dxa"/>
              <w:left w:w="20" w:type="dxa"/>
              <w:bottom w:w="0" w:type="dxa"/>
              <w:right w:w="20" w:type="dxa"/>
            </w:tcMar>
            <w:vAlign w:val="bottom"/>
          </w:tcPr>
          <w:p w:rsidR="00516DAF" w:rsidRDefault="00516DAF" w:rsidP="00A870ED">
            <w:pPr>
              <w:spacing w:after="0" w:line="240" w:lineRule="auto"/>
              <w:jc w:val="center"/>
              <w:rPr>
                <w:sz w:val="20"/>
              </w:rPr>
            </w:pPr>
            <w:r>
              <w:rPr>
                <w:sz w:val="20"/>
              </w:rPr>
              <w:t>0.1%</w:t>
            </w:r>
          </w:p>
        </w:tc>
      </w:tr>
      <w:tr w:rsidR="00516DAF" w:rsidTr="00516DAF">
        <w:trPr>
          <w:trHeight w:val="255"/>
          <w:jc w:val="center"/>
        </w:trPr>
        <w:tc>
          <w:tcPr>
            <w:tcW w:w="1234" w:type="dxa"/>
            <w:vAlign w:val="bottom"/>
          </w:tcPr>
          <w:p w:rsidR="00516DAF" w:rsidRDefault="00516DAF" w:rsidP="00A870ED">
            <w:pPr>
              <w:spacing w:after="0" w:line="240" w:lineRule="auto"/>
              <w:jc w:val="both"/>
              <w:rPr>
                <w:b/>
                <w:bCs/>
                <w:sz w:val="20"/>
              </w:rPr>
            </w:pPr>
          </w:p>
        </w:tc>
        <w:tc>
          <w:tcPr>
            <w:tcW w:w="945" w:type="dxa"/>
            <w:noWrap/>
            <w:tcMar>
              <w:top w:w="20" w:type="dxa"/>
              <w:left w:w="20" w:type="dxa"/>
              <w:bottom w:w="0" w:type="dxa"/>
              <w:right w:w="20" w:type="dxa"/>
            </w:tcMar>
            <w:vAlign w:val="bottom"/>
          </w:tcPr>
          <w:p w:rsidR="00516DAF" w:rsidRDefault="00516DAF" w:rsidP="00A870ED">
            <w:pPr>
              <w:spacing w:after="0" w:line="240" w:lineRule="auto"/>
              <w:jc w:val="center"/>
              <w:rPr>
                <w:sz w:val="20"/>
              </w:rPr>
            </w:pPr>
          </w:p>
        </w:tc>
        <w:tc>
          <w:tcPr>
            <w:tcW w:w="785" w:type="dxa"/>
            <w:noWrap/>
            <w:tcMar>
              <w:top w:w="20" w:type="dxa"/>
              <w:left w:w="20" w:type="dxa"/>
              <w:bottom w:w="0" w:type="dxa"/>
              <w:right w:w="20" w:type="dxa"/>
            </w:tcMar>
            <w:vAlign w:val="bottom"/>
          </w:tcPr>
          <w:p w:rsidR="00516DAF" w:rsidRDefault="00516DAF" w:rsidP="00A870ED">
            <w:pPr>
              <w:spacing w:after="0" w:line="240" w:lineRule="auto"/>
              <w:jc w:val="center"/>
              <w:rPr>
                <w:sz w:val="20"/>
              </w:rPr>
            </w:pPr>
          </w:p>
        </w:tc>
        <w:tc>
          <w:tcPr>
            <w:tcW w:w="690" w:type="dxa"/>
            <w:noWrap/>
            <w:tcMar>
              <w:top w:w="20" w:type="dxa"/>
              <w:left w:w="20" w:type="dxa"/>
              <w:bottom w:w="0" w:type="dxa"/>
              <w:right w:w="20" w:type="dxa"/>
            </w:tcMar>
            <w:vAlign w:val="bottom"/>
          </w:tcPr>
          <w:p w:rsidR="00516DAF" w:rsidRDefault="00516DAF" w:rsidP="00A870ED">
            <w:pPr>
              <w:spacing w:after="0" w:line="240" w:lineRule="auto"/>
              <w:jc w:val="center"/>
              <w:rPr>
                <w:sz w:val="20"/>
              </w:rPr>
            </w:pPr>
          </w:p>
        </w:tc>
        <w:tc>
          <w:tcPr>
            <w:tcW w:w="912" w:type="dxa"/>
            <w:vAlign w:val="bottom"/>
          </w:tcPr>
          <w:p w:rsidR="00516DAF" w:rsidRDefault="00516DAF" w:rsidP="00A870ED">
            <w:pPr>
              <w:spacing w:after="0" w:line="240" w:lineRule="auto"/>
              <w:jc w:val="center"/>
              <w:rPr>
                <w:sz w:val="20"/>
              </w:rPr>
            </w:pPr>
          </w:p>
        </w:tc>
        <w:tc>
          <w:tcPr>
            <w:tcW w:w="912" w:type="dxa"/>
            <w:vAlign w:val="bottom"/>
          </w:tcPr>
          <w:p w:rsidR="00516DAF" w:rsidRDefault="00516DAF" w:rsidP="00A870ED">
            <w:pPr>
              <w:spacing w:after="0" w:line="240" w:lineRule="auto"/>
              <w:jc w:val="center"/>
              <w:rPr>
                <w:sz w:val="20"/>
              </w:rPr>
            </w:pPr>
          </w:p>
        </w:tc>
        <w:tc>
          <w:tcPr>
            <w:tcW w:w="590" w:type="dxa"/>
            <w:vAlign w:val="bottom"/>
          </w:tcPr>
          <w:p w:rsidR="00516DAF" w:rsidRDefault="00516DAF" w:rsidP="00A870ED">
            <w:pPr>
              <w:spacing w:after="0" w:line="240" w:lineRule="auto"/>
              <w:jc w:val="center"/>
              <w:rPr>
                <w:sz w:val="20"/>
              </w:rPr>
            </w:pPr>
          </w:p>
        </w:tc>
        <w:tc>
          <w:tcPr>
            <w:tcW w:w="590" w:type="dxa"/>
            <w:noWrap/>
            <w:tcMar>
              <w:top w:w="20" w:type="dxa"/>
              <w:left w:w="20" w:type="dxa"/>
              <w:bottom w:w="0" w:type="dxa"/>
              <w:right w:w="20" w:type="dxa"/>
            </w:tcMar>
            <w:vAlign w:val="bottom"/>
          </w:tcPr>
          <w:p w:rsidR="00516DAF" w:rsidRDefault="00516DAF" w:rsidP="00A870ED">
            <w:pPr>
              <w:spacing w:after="0" w:line="240" w:lineRule="auto"/>
              <w:jc w:val="center"/>
              <w:rPr>
                <w:sz w:val="20"/>
              </w:rPr>
            </w:pPr>
          </w:p>
        </w:tc>
      </w:tr>
    </w:tbl>
    <w:p w:rsidR="00584117" w:rsidRDefault="00584117" w:rsidP="00584117">
      <w:pPr>
        <w:spacing w:after="0" w:line="480" w:lineRule="auto"/>
        <w:jc w:val="both"/>
      </w:pPr>
    </w:p>
    <w:p w:rsidR="00516DAF" w:rsidRDefault="00516DAF">
      <w:r>
        <w:br w:type="page"/>
      </w:r>
    </w:p>
    <w:p w:rsidR="0063456F" w:rsidRDefault="0063456F" w:rsidP="0063456F">
      <w:pPr>
        <w:spacing w:after="0" w:line="480" w:lineRule="auto"/>
        <w:jc w:val="both"/>
        <w:rPr>
          <w:b/>
        </w:rPr>
      </w:pPr>
      <w:r w:rsidRPr="007C426C">
        <w:rPr>
          <w:b/>
        </w:rPr>
        <w:lastRenderedPageBreak/>
        <w:t xml:space="preserve">Table </w:t>
      </w:r>
      <w:r w:rsidR="00775769">
        <w:rPr>
          <w:b/>
        </w:rPr>
        <w:t>11</w:t>
      </w:r>
      <w:r w:rsidRPr="007C426C">
        <w:rPr>
          <w:b/>
        </w:rPr>
        <w:t xml:space="preserve">.  </w:t>
      </w:r>
    </w:p>
    <w:p w:rsidR="0063456F" w:rsidRDefault="0063456F" w:rsidP="0063456F">
      <w:pPr>
        <w:spacing w:after="0" w:line="480" w:lineRule="auto"/>
        <w:rPr>
          <w:b/>
        </w:rPr>
      </w:pPr>
      <w:r>
        <w:rPr>
          <w:b/>
        </w:rPr>
        <w:t xml:space="preserve">Comparison to Martin (1939) </w:t>
      </w:r>
    </w:p>
    <w:p w:rsidR="0063456F" w:rsidRPr="00AC554D" w:rsidRDefault="0063456F" w:rsidP="0063456F">
      <w:pPr>
        <w:spacing w:after="0" w:line="480" w:lineRule="auto"/>
        <w:rPr>
          <w:b/>
        </w:rPr>
      </w:pPr>
      <w:r>
        <w:rPr>
          <w:b/>
        </w:rPr>
        <w:t xml:space="preserve">Percentage of Total </w:t>
      </w:r>
      <w:r>
        <w:rPr>
          <w:rFonts w:cs="Times New Roman"/>
          <w:b/>
        </w:rPr>
        <w:t>£</w:t>
      </w:r>
      <w:r>
        <w:rPr>
          <w:b/>
        </w:rPr>
        <w:t xml:space="preserve"> Lawful Money (1771) Recorded Repayments, by Category</w:t>
      </w:r>
    </w:p>
    <w:p w:rsidR="0063456F" w:rsidRDefault="0063456F" w:rsidP="0063456F">
      <w:pPr>
        <w:spacing w:after="0" w:line="480" w:lineRule="auto"/>
        <w:jc w:val="both"/>
      </w:pPr>
    </w:p>
    <w:tbl>
      <w:tblPr>
        <w:tblW w:w="4720"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797"/>
        <w:gridCol w:w="1365"/>
        <w:gridCol w:w="1188"/>
        <w:gridCol w:w="1370"/>
      </w:tblGrid>
      <w:tr w:rsidR="0063456F" w:rsidTr="0063456F">
        <w:trPr>
          <w:trHeight w:val="255"/>
          <w:jc w:val="center"/>
        </w:trPr>
        <w:tc>
          <w:tcPr>
            <w:tcW w:w="797" w:type="dxa"/>
            <w:tcBorders>
              <w:bottom w:val="single" w:sz="6" w:space="0" w:color="808080"/>
            </w:tcBorders>
            <w:vAlign w:val="bottom"/>
          </w:tcPr>
          <w:p w:rsidR="0063456F" w:rsidRDefault="0063456F" w:rsidP="00A870ED">
            <w:pPr>
              <w:spacing w:after="0" w:line="240" w:lineRule="auto"/>
              <w:jc w:val="both"/>
              <w:rPr>
                <w:b/>
                <w:bCs/>
                <w:sz w:val="20"/>
              </w:rPr>
            </w:pPr>
          </w:p>
        </w:tc>
        <w:tc>
          <w:tcPr>
            <w:tcW w:w="1365" w:type="dxa"/>
            <w:tcBorders>
              <w:bottom w:val="single" w:sz="6" w:space="0" w:color="808080"/>
            </w:tcBorders>
            <w:noWrap/>
            <w:tcMar>
              <w:top w:w="20" w:type="dxa"/>
              <w:left w:w="20" w:type="dxa"/>
              <w:bottom w:w="0" w:type="dxa"/>
              <w:right w:w="20" w:type="dxa"/>
            </w:tcMar>
            <w:vAlign w:val="bottom"/>
          </w:tcPr>
          <w:p w:rsidR="0063456F" w:rsidRDefault="0063456F" w:rsidP="0063456F">
            <w:pPr>
              <w:spacing w:after="0" w:line="240" w:lineRule="auto"/>
              <w:jc w:val="center"/>
              <w:rPr>
                <w:b/>
                <w:bCs/>
                <w:sz w:val="20"/>
              </w:rPr>
            </w:pPr>
            <w:r>
              <w:rPr>
                <w:b/>
                <w:bCs/>
                <w:sz w:val="20"/>
              </w:rPr>
              <w:t>Martin (1939)</w:t>
            </w:r>
          </w:p>
        </w:tc>
        <w:tc>
          <w:tcPr>
            <w:tcW w:w="1188" w:type="dxa"/>
            <w:tcBorders>
              <w:bottom w:val="single" w:sz="6" w:space="0" w:color="808080"/>
            </w:tcBorders>
            <w:vAlign w:val="bottom"/>
          </w:tcPr>
          <w:p w:rsidR="0063456F" w:rsidRDefault="0063456F" w:rsidP="0063456F">
            <w:pPr>
              <w:spacing w:after="0" w:line="240" w:lineRule="auto"/>
              <w:jc w:val="center"/>
              <w:rPr>
                <w:b/>
                <w:bCs/>
                <w:sz w:val="20"/>
              </w:rPr>
            </w:pPr>
            <w:r>
              <w:rPr>
                <w:b/>
                <w:bCs/>
                <w:sz w:val="20"/>
              </w:rPr>
              <w:t>Connecticut</w:t>
            </w:r>
          </w:p>
        </w:tc>
        <w:tc>
          <w:tcPr>
            <w:tcW w:w="1370" w:type="dxa"/>
            <w:tcBorders>
              <w:bottom w:val="single" w:sz="6" w:space="0" w:color="808080"/>
            </w:tcBorders>
            <w:vAlign w:val="bottom"/>
          </w:tcPr>
          <w:p w:rsidR="0063456F" w:rsidRDefault="0063456F" w:rsidP="0063456F">
            <w:pPr>
              <w:spacing w:after="0" w:line="240" w:lineRule="auto"/>
              <w:jc w:val="center"/>
              <w:rPr>
                <w:b/>
                <w:bCs/>
                <w:sz w:val="20"/>
              </w:rPr>
            </w:pPr>
            <w:r>
              <w:rPr>
                <w:b/>
                <w:bCs/>
                <w:sz w:val="20"/>
              </w:rPr>
              <w:t>Massachusetts</w:t>
            </w:r>
          </w:p>
        </w:tc>
      </w:tr>
      <w:tr w:rsidR="0063456F" w:rsidTr="0063456F">
        <w:trPr>
          <w:trHeight w:val="255"/>
          <w:jc w:val="center"/>
        </w:trPr>
        <w:tc>
          <w:tcPr>
            <w:tcW w:w="797" w:type="dxa"/>
            <w:tcBorders>
              <w:top w:val="single" w:sz="6" w:space="0" w:color="808080"/>
            </w:tcBorders>
            <w:vAlign w:val="bottom"/>
          </w:tcPr>
          <w:p w:rsidR="0063456F" w:rsidRDefault="0063456F" w:rsidP="00A870ED">
            <w:pPr>
              <w:spacing w:after="0" w:line="240" w:lineRule="auto"/>
              <w:jc w:val="both"/>
              <w:rPr>
                <w:b/>
                <w:bCs/>
                <w:sz w:val="20"/>
              </w:rPr>
            </w:pPr>
          </w:p>
          <w:p w:rsidR="0063456F" w:rsidRDefault="0063456F" w:rsidP="00A870ED">
            <w:pPr>
              <w:spacing w:after="0" w:line="240" w:lineRule="auto"/>
              <w:jc w:val="both"/>
              <w:rPr>
                <w:b/>
                <w:bCs/>
                <w:sz w:val="20"/>
              </w:rPr>
            </w:pPr>
            <w:r>
              <w:rPr>
                <w:b/>
                <w:bCs/>
                <w:sz w:val="20"/>
              </w:rPr>
              <w:t>Money</w:t>
            </w:r>
          </w:p>
          <w:p w:rsidR="0063456F" w:rsidRDefault="0063456F" w:rsidP="00A870ED">
            <w:pPr>
              <w:spacing w:after="0" w:line="240" w:lineRule="auto"/>
              <w:jc w:val="both"/>
              <w:rPr>
                <w:b/>
                <w:bCs/>
                <w:sz w:val="20"/>
              </w:rPr>
            </w:pPr>
          </w:p>
        </w:tc>
        <w:tc>
          <w:tcPr>
            <w:tcW w:w="1365" w:type="dxa"/>
            <w:tcBorders>
              <w:top w:val="single" w:sz="6" w:space="0" w:color="808080"/>
            </w:tcBorders>
            <w:noWrap/>
            <w:tcMar>
              <w:top w:w="20" w:type="dxa"/>
              <w:left w:w="20" w:type="dxa"/>
              <w:bottom w:w="0" w:type="dxa"/>
              <w:right w:w="20" w:type="dxa"/>
            </w:tcMar>
            <w:vAlign w:val="bottom"/>
          </w:tcPr>
          <w:p w:rsidR="0063456F" w:rsidRDefault="0063456F" w:rsidP="00A870ED">
            <w:pPr>
              <w:spacing w:after="0" w:line="240" w:lineRule="auto"/>
              <w:jc w:val="center"/>
              <w:rPr>
                <w:sz w:val="20"/>
              </w:rPr>
            </w:pPr>
            <w:r>
              <w:rPr>
                <w:sz w:val="20"/>
              </w:rPr>
              <w:t>59.1%</w:t>
            </w:r>
          </w:p>
          <w:p w:rsidR="0063456F" w:rsidRDefault="0063456F" w:rsidP="00A870ED">
            <w:pPr>
              <w:spacing w:after="0" w:line="240" w:lineRule="auto"/>
              <w:jc w:val="center"/>
              <w:rPr>
                <w:sz w:val="20"/>
              </w:rPr>
            </w:pPr>
          </w:p>
        </w:tc>
        <w:tc>
          <w:tcPr>
            <w:tcW w:w="1188" w:type="dxa"/>
            <w:tcBorders>
              <w:top w:val="single" w:sz="6" w:space="0" w:color="808080"/>
            </w:tcBorders>
            <w:vAlign w:val="bottom"/>
          </w:tcPr>
          <w:p w:rsidR="0063456F" w:rsidRDefault="0063456F" w:rsidP="00A870ED">
            <w:pPr>
              <w:spacing w:after="0" w:line="240" w:lineRule="auto"/>
              <w:jc w:val="center"/>
              <w:rPr>
                <w:sz w:val="20"/>
              </w:rPr>
            </w:pPr>
            <w:r>
              <w:rPr>
                <w:sz w:val="20"/>
              </w:rPr>
              <w:t>54.2%</w:t>
            </w:r>
          </w:p>
          <w:p w:rsidR="0063456F" w:rsidRDefault="0063456F" w:rsidP="00A870ED">
            <w:pPr>
              <w:spacing w:after="0" w:line="240" w:lineRule="auto"/>
              <w:jc w:val="center"/>
              <w:rPr>
                <w:sz w:val="20"/>
              </w:rPr>
            </w:pPr>
          </w:p>
        </w:tc>
        <w:tc>
          <w:tcPr>
            <w:tcW w:w="1370" w:type="dxa"/>
            <w:tcBorders>
              <w:top w:val="single" w:sz="6" w:space="0" w:color="808080"/>
            </w:tcBorders>
            <w:vAlign w:val="bottom"/>
          </w:tcPr>
          <w:p w:rsidR="0063456F" w:rsidRDefault="0063456F" w:rsidP="00A870ED">
            <w:pPr>
              <w:spacing w:after="0" w:line="240" w:lineRule="auto"/>
              <w:jc w:val="center"/>
              <w:rPr>
                <w:sz w:val="20"/>
              </w:rPr>
            </w:pPr>
            <w:r>
              <w:rPr>
                <w:sz w:val="20"/>
              </w:rPr>
              <w:t>66.5%</w:t>
            </w:r>
          </w:p>
          <w:p w:rsidR="0063456F" w:rsidRDefault="0063456F" w:rsidP="00A870ED">
            <w:pPr>
              <w:spacing w:after="0" w:line="240" w:lineRule="auto"/>
              <w:jc w:val="center"/>
              <w:rPr>
                <w:sz w:val="20"/>
              </w:rPr>
            </w:pPr>
          </w:p>
        </w:tc>
      </w:tr>
      <w:tr w:rsidR="0063456F" w:rsidTr="0063456F">
        <w:trPr>
          <w:trHeight w:val="255"/>
          <w:jc w:val="center"/>
        </w:trPr>
        <w:tc>
          <w:tcPr>
            <w:tcW w:w="797" w:type="dxa"/>
            <w:vAlign w:val="bottom"/>
          </w:tcPr>
          <w:p w:rsidR="0063456F" w:rsidRDefault="0063456F" w:rsidP="0063456F">
            <w:pPr>
              <w:spacing w:after="0" w:line="240" w:lineRule="auto"/>
              <w:jc w:val="both"/>
              <w:rPr>
                <w:b/>
                <w:bCs/>
                <w:sz w:val="20"/>
              </w:rPr>
            </w:pPr>
            <w:r>
              <w:rPr>
                <w:b/>
                <w:bCs/>
                <w:sz w:val="20"/>
              </w:rPr>
              <w:t>Goods</w:t>
            </w:r>
          </w:p>
          <w:p w:rsidR="0063456F" w:rsidRDefault="0063456F" w:rsidP="0063456F">
            <w:pPr>
              <w:spacing w:after="0" w:line="240" w:lineRule="auto"/>
              <w:jc w:val="both"/>
              <w:rPr>
                <w:b/>
                <w:bCs/>
                <w:sz w:val="20"/>
              </w:rPr>
            </w:pPr>
          </w:p>
          <w:p w:rsidR="0063456F" w:rsidRDefault="0063456F" w:rsidP="0063456F">
            <w:pPr>
              <w:spacing w:after="0" w:line="240" w:lineRule="auto"/>
              <w:jc w:val="both"/>
              <w:rPr>
                <w:b/>
                <w:bCs/>
                <w:sz w:val="20"/>
              </w:rPr>
            </w:pPr>
            <w:r>
              <w:rPr>
                <w:b/>
                <w:bCs/>
                <w:sz w:val="20"/>
              </w:rPr>
              <w:t>Other</w:t>
            </w:r>
          </w:p>
        </w:tc>
        <w:tc>
          <w:tcPr>
            <w:tcW w:w="1365" w:type="dxa"/>
            <w:noWrap/>
            <w:tcMar>
              <w:top w:w="20" w:type="dxa"/>
              <w:left w:w="20" w:type="dxa"/>
              <w:bottom w:w="0" w:type="dxa"/>
              <w:right w:w="20" w:type="dxa"/>
            </w:tcMar>
            <w:vAlign w:val="bottom"/>
          </w:tcPr>
          <w:p w:rsidR="0063456F" w:rsidRDefault="0063456F" w:rsidP="00A870ED">
            <w:pPr>
              <w:spacing w:after="0" w:line="240" w:lineRule="auto"/>
              <w:jc w:val="center"/>
              <w:rPr>
                <w:sz w:val="20"/>
              </w:rPr>
            </w:pPr>
            <w:r>
              <w:rPr>
                <w:sz w:val="20"/>
              </w:rPr>
              <w:t>31.4%</w:t>
            </w:r>
          </w:p>
          <w:p w:rsidR="0063456F" w:rsidRDefault="0063456F" w:rsidP="00A870ED">
            <w:pPr>
              <w:spacing w:after="0" w:line="240" w:lineRule="auto"/>
              <w:jc w:val="center"/>
              <w:rPr>
                <w:sz w:val="20"/>
              </w:rPr>
            </w:pPr>
          </w:p>
          <w:p w:rsidR="0063456F" w:rsidRDefault="0063456F" w:rsidP="00A870ED">
            <w:pPr>
              <w:spacing w:after="0" w:line="240" w:lineRule="auto"/>
              <w:jc w:val="center"/>
              <w:rPr>
                <w:sz w:val="20"/>
              </w:rPr>
            </w:pPr>
            <w:r>
              <w:rPr>
                <w:sz w:val="20"/>
              </w:rPr>
              <w:t>9.5%</w:t>
            </w:r>
          </w:p>
        </w:tc>
        <w:tc>
          <w:tcPr>
            <w:tcW w:w="1188" w:type="dxa"/>
            <w:vAlign w:val="bottom"/>
          </w:tcPr>
          <w:p w:rsidR="0063456F" w:rsidRDefault="0063456F" w:rsidP="00A870ED">
            <w:pPr>
              <w:spacing w:after="0" w:line="240" w:lineRule="auto"/>
              <w:jc w:val="center"/>
              <w:rPr>
                <w:sz w:val="20"/>
              </w:rPr>
            </w:pPr>
            <w:r>
              <w:rPr>
                <w:sz w:val="20"/>
              </w:rPr>
              <w:t>39.9%</w:t>
            </w:r>
          </w:p>
          <w:p w:rsidR="0063456F" w:rsidRDefault="0063456F" w:rsidP="00A870ED">
            <w:pPr>
              <w:spacing w:after="0" w:line="240" w:lineRule="auto"/>
              <w:jc w:val="center"/>
              <w:rPr>
                <w:sz w:val="20"/>
              </w:rPr>
            </w:pPr>
          </w:p>
          <w:p w:rsidR="0063456F" w:rsidRDefault="0063456F" w:rsidP="00A870ED">
            <w:pPr>
              <w:spacing w:after="0" w:line="240" w:lineRule="auto"/>
              <w:jc w:val="center"/>
              <w:rPr>
                <w:sz w:val="20"/>
              </w:rPr>
            </w:pPr>
            <w:r>
              <w:rPr>
                <w:sz w:val="20"/>
              </w:rPr>
              <w:t>5.9%</w:t>
            </w:r>
          </w:p>
        </w:tc>
        <w:tc>
          <w:tcPr>
            <w:tcW w:w="1370" w:type="dxa"/>
            <w:vAlign w:val="bottom"/>
          </w:tcPr>
          <w:p w:rsidR="0063456F" w:rsidRDefault="0063456F" w:rsidP="00A870ED">
            <w:pPr>
              <w:spacing w:after="0" w:line="240" w:lineRule="auto"/>
              <w:jc w:val="center"/>
              <w:rPr>
                <w:sz w:val="20"/>
              </w:rPr>
            </w:pPr>
            <w:r>
              <w:rPr>
                <w:sz w:val="20"/>
              </w:rPr>
              <w:t>23.6%</w:t>
            </w:r>
          </w:p>
          <w:p w:rsidR="0063456F" w:rsidRDefault="0063456F" w:rsidP="00A870ED">
            <w:pPr>
              <w:spacing w:after="0" w:line="240" w:lineRule="auto"/>
              <w:jc w:val="center"/>
              <w:rPr>
                <w:sz w:val="20"/>
              </w:rPr>
            </w:pPr>
          </w:p>
          <w:p w:rsidR="0063456F" w:rsidRDefault="0063456F" w:rsidP="00A870ED">
            <w:pPr>
              <w:spacing w:after="0" w:line="240" w:lineRule="auto"/>
              <w:jc w:val="center"/>
              <w:rPr>
                <w:sz w:val="20"/>
              </w:rPr>
            </w:pPr>
            <w:r>
              <w:rPr>
                <w:sz w:val="20"/>
              </w:rPr>
              <w:t>9.9%</w:t>
            </w:r>
          </w:p>
        </w:tc>
      </w:tr>
      <w:tr w:rsidR="0063456F" w:rsidTr="0063456F">
        <w:trPr>
          <w:trHeight w:val="255"/>
          <w:jc w:val="center"/>
        </w:trPr>
        <w:tc>
          <w:tcPr>
            <w:tcW w:w="797" w:type="dxa"/>
            <w:vAlign w:val="bottom"/>
          </w:tcPr>
          <w:p w:rsidR="0063456F" w:rsidRDefault="0063456F" w:rsidP="00A870ED">
            <w:pPr>
              <w:spacing w:after="0" w:line="240" w:lineRule="auto"/>
              <w:jc w:val="both"/>
              <w:rPr>
                <w:b/>
                <w:bCs/>
                <w:sz w:val="20"/>
              </w:rPr>
            </w:pPr>
          </w:p>
        </w:tc>
        <w:tc>
          <w:tcPr>
            <w:tcW w:w="1365" w:type="dxa"/>
            <w:noWrap/>
            <w:tcMar>
              <w:top w:w="20" w:type="dxa"/>
              <w:left w:w="20" w:type="dxa"/>
              <w:bottom w:w="0" w:type="dxa"/>
              <w:right w:w="20" w:type="dxa"/>
            </w:tcMar>
            <w:vAlign w:val="bottom"/>
          </w:tcPr>
          <w:p w:rsidR="0063456F" w:rsidRDefault="0063456F" w:rsidP="00A870ED">
            <w:pPr>
              <w:spacing w:after="0" w:line="240" w:lineRule="auto"/>
              <w:jc w:val="center"/>
              <w:rPr>
                <w:sz w:val="20"/>
              </w:rPr>
            </w:pPr>
          </w:p>
        </w:tc>
        <w:tc>
          <w:tcPr>
            <w:tcW w:w="1188" w:type="dxa"/>
            <w:vAlign w:val="bottom"/>
          </w:tcPr>
          <w:p w:rsidR="0063456F" w:rsidRDefault="0063456F" w:rsidP="00A870ED">
            <w:pPr>
              <w:spacing w:after="0" w:line="240" w:lineRule="auto"/>
              <w:jc w:val="center"/>
              <w:rPr>
                <w:sz w:val="20"/>
              </w:rPr>
            </w:pPr>
          </w:p>
        </w:tc>
        <w:tc>
          <w:tcPr>
            <w:tcW w:w="1370" w:type="dxa"/>
            <w:vAlign w:val="bottom"/>
          </w:tcPr>
          <w:p w:rsidR="0063456F" w:rsidRDefault="0063456F" w:rsidP="00A870ED">
            <w:pPr>
              <w:spacing w:after="0" w:line="240" w:lineRule="auto"/>
              <w:jc w:val="center"/>
              <w:rPr>
                <w:sz w:val="20"/>
              </w:rPr>
            </w:pPr>
          </w:p>
        </w:tc>
      </w:tr>
    </w:tbl>
    <w:p w:rsidR="0063456F" w:rsidRDefault="0063456F" w:rsidP="0063456F">
      <w:pPr>
        <w:spacing w:after="0" w:line="480" w:lineRule="auto"/>
        <w:jc w:val="both"/>
      </w:pPr>
    </w:p>
    <w:p w:rsidR="0063456F" w:rsidRDefault="0063456F" w:rsidP="0063456F">
      <w:pPr>
        <w:spacing w:after="0" w:line="480" w:lineRule="auto"/>
        <w:ind w:left="990" w:right="945"/>
        <w:jc w:val="both"/>
      </w:pPr>
    </w:p>
    <w:p w:rsidR="0063456F" w:rsidRDefault="0063456F" w:rsidP="0063456F">
      <w:pPr>
        <w:spacing w:after="0" w:line="480" w:lineRule="auto"/>
        <w:ind w:left="990" w:right="945"/>
        <w:jc w:val="both"/>
      </w:pPr>
      <w:r>
        <w:t xml:space="preserve">Source: Martin, M. (1939) </w:t>
      </w:r>
    </w:p>
    <w:p w:rsidR="0063456F" w:rsidRDefault="0063456F" w:rsidP="0063456F">
      <w:pPr>
        <w:spacing w:after="0" w:line="480" w:lineRule="auto"/>
        <w:ind w:left="990" w:right="945"/>
        <w:jc w:val="both"/>
      </w:pPr>
      <w:r>
        <w:t xml:space="preserve">Repayment percentages for Dwight, 1757-1765. </w:t>
      </w:r>
    </w:p>
    <w:p w:rsidR="0063456F" w:rsidRDefault="0063456F" w:rsidP="006B3FA8">
      <w:pPr>
        <w:spacing w:after="0" w:line="480" w:lineRule="auto"/>
        <w:jc w:val="both"/>
      </w:pPr>
    </w:p>
    <w:p w:rsidR="0063456F" w:rsidRDefault="0063456F" w:rsidP="006B3FA8">
      <w:pPr>
        <w:spacing w:after="0" w:line="480" w:lineRule="auto"/>
        <w:jc w:val="both"/>
      </w:pPr>
    </w:p>
    <w:sectPr w:rsidR="0063456F" w:rsidSect="00A24AE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7D" w:rsidRDefault="00D4387D" w:rsidP="00B75F03">
      <w:pPr>
        <w:spacing w:after="0" w:line="240" w:lineRule="auto"/>
      </w:pPr>
      <w:r>
        <w:separator/>
      </w:r>
    </w:p>
  </w:endnote>
  <w:endnote w:type="continuationSeparator" w:id="0">
    <w:p w:rsidR="00D4387D" w:rsidRDefault="00D4387D" w:rsidP="00B7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FA" w:rsidRDefault="000927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7FA" w:rsidRDefault="000927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FA" w:rsidRDefault="000927FA">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D06AC5">
      <w:rPr>
        <w:rStyle w:val="PageNumber"/>
        <w:noProof/>
      </w:rPr>
      <w:t>1</w:t>
    </w:r>
    <w:r>
      <w:rPr>
        <w:rStyle w:val="PageNumber"/>
      </w:rPr>
      <w:fldChar w:fldCharType="end"/>
    </w:r>
  </w:p>
  <w:p w:rsidR="000927FA" w:rsidRDefault="000927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FA" w:rsidRDefault="000927FA">
    <w:pPr>
      <w:pStyle w:val="Footer"/>
      <w:jc w:val="right"/>
    </w:pPr>
    <w:r>
      <w:t>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7D" w:rsidRDefault="00D4387D" w:rsidP="00B75F03">
      <w:pPr>
        <w:spacing w:after="0" w:line="240" w:lineRule="auto"/>
      </w:pPr>
      <w:r>
        <w:separator/>
      </w:r>
    </w:p>
  </w:footnote>
  <w:footnote w:type="continuationSeparator" w:id="0">
    <w:p w:rsidR="00D4387D" w:rsidRDefault="00D4387D" w:rsidP="00B75F03">
      <w:pPr>
        <w:spacing w:after="0" w:line="240" w:lineRule="auto"/>
      </w:pPr>
      <w:r>
        <w:continuationSeparator/>
      </w:r>
    </w:p>
  </w:footnote>
  <w:footnote w:id="1">
    <w:p w:rsidR="000927FA" w:rsidRDefault="000927FA" w:rsidP="00786623">
      <w:pPr>
        <w:pStyle w:val="FootnoteText"/>
        <w:jc w:val="both"/>
      </w:pPr>
      <w:r>
        <w:rPr>
          <w:rStyle w:val="FootnoteReference"/>
        </w:rPr>
        <w:footnoteRef/>
      </w:r>
      <w:r>
        <w:t xml:space="preserve"> Baxter (1945, 20) refers to such an exchange, a credit sale later repaid by goods, as “bookkeeping barter.”  Since some of our merchants recorded sales with simultaneous goods (barter), we make a distinction when a delayed good or service is used to repay a credit sale (Goods).</w:t>
      </w:r>
    </w:p>
  </w:footnote>
  <w:footnote w:id="2">
    <w:p w:rsidR="000927FA" w:rsidRDefault="000927FA" w:rsidP="00956A52">
      <w:pPr>
        <w:pStyle w:val="FootnoteText"/>
        <w:jc w:val="both"/>
      </w:pPr>
      <w:r>
        <w:rPr>
          <w:rStyle w:val="FootnoteReference"/>
        </w:rPr>
        <w:footnoteRef/>
      </w:r>
      <w:r>
        <w:t xml:space="preserve"> For statistical analysis, we report amounts in decimal pounds instead of the older method of </w:t>
      </w:r>
      <w:r w:rsidRPr="007678C3">
        <w:rPr>
          <w:szCs w:val="24"/>
        </w:rPr>
        <w:t>pound, shilling</w:t>
      </w:r>
      <w:r>
        <w:rPr>
          <w:szCs w:val="24"/>
        </w:rPr>
        <w:t>,</w:t>
      </w:r>
      <w:r w:rsidRPr="007678C3">
        <w:rPr>
          <w:szCs w:val="24"/>
        </w:rPr>
        <w:t xml:space="preserve"> and pence </w:t>
      </w:r>
      <w:r>
        <w:t>“£, s. d.”</w:t>
      </w:r>
    </w:p>
  </w:footnote>
  <w:footnote w:id="3">
    <w:p w:rsidR="000927FA" w:rsidRDefault="000927FA" w:rsidP="00956A52">
      <w:pPr>
        <w:pStyle w:val="FootnoteText"/>
        <w:spacing w:line="200" w:lineRule="exact"/>
      </w:pPr>
      <w:r>
        <w:rPr>
          <w:rStyle w:val="FootnoteReference"/>
        </w:rPr>
        <w:footnoteRef/>
      </w:r>
      <w:r>
        <w:t xml:space="preserve"> </w:t>
      </w:r>
      <w:r>
        <w:rPr>
          <w:rFonts w:cs="Arial"/>
        </w:rPr>
        <w:t xml:space="preserve">“No Date” is our notation indicating an entry in the account book without a date.  </w:t>
      </w:r>
    </w:p>
  </w:footnote>
  <w:footnote w:id="4">
    <w:p w:rsidR="000927FA" w:rsidRDefault="000927FA" w:rsidP="00956A52">
      <w:pPr>
        <w:pStyle w:val="FootnoteText"/>
      </w:pPr>
      <w:r>
        <w:rPr>
          <w:rStyle w:val="FootnoteReference"/>
        </w:rPr>
        <w:footnoteRef/>
      </w:r>
      <w:r>
        <w:t xml:space="preserve"> One account is listed as an Anonymous New Hampshire merchant.  Since his account book is in the Massachusetts Historical Society manuscript collection, he is included in Massachusetts for this analysis.</w:t>
      </w:r>
    </w:p>
  </w:footnote>
  <w:footnote w:id="5">
    <w:p w:rsidR="000927FA" w:rsidRDefault="000927FA" w:rsidP="00991FAC">
      <w:pPr>
        <w:pStyle w:val="FootnoteText"/>
        <w:spacing w:line="200" w:lineRule="exact"/>
      </w:pPr>
      <w:r>
        <w:rPr>
          <w:rStyle w:val="FootnoteReference"/>
        </w:rPr>
        <w:footnoteRef/>
      </w:r>
      <w:r>
        <w:t xml:space="preserve"> Tenor refers to a value scheme for a note.</w:t>
      </w:r>
    </w:p>
  </w:footnote>
  <w:footnote w:id="6">
    <w:p w:rsidR="000927FA" w:rsidRDefault="000927FA" w:rsidP="00991FAC">
      <w:pPr>
        <w:pStyle w:val="FootnoteText"/>
        <w:spacing w:line="200" w:lineRule="exact"/>
      </w:pPr>
      <w:r>
        <w:rPr>
          <w:rStyle w:val="FootnoteReference"/>
        </w:rPr>
        <w:footnoteRef/>
      </w:r>
      <w:r>
        <w:t xml:space="preserve"> The entry in McCusker (140, Table 1) is £200, divided by 133.33 is approximately 1.5 old tenor to 1 Lawful Money, or a multiple of .667.</w:t>
      </w:r>
    </w:p>
  </w:footnote>
  <w:footnote w:id="7">
    <w:p w:rsidR="000927FA" w:rsidRDefault="000927FA">
      <w:pPr>
        <w:pStyle w:val="FootnoteText"/>
      </w:pPr>
      <w:r>
        <w:rPr>
          <w:rStyle w:val="FootnoteReference"/>
        </w:rPr>
        <w:footnoteRef/>
      </w:r>
      <w:r>
        <w:t xml:space="preserve"> Note that some of the converted amounts appear as a zero, rounded to three decimal places.  We include these numbers in Tables 3 and 4 to distinguish between a very small amount and an absence of the transaction type.</w:t>
      </w:r>
    </w:p>
  </w:footnote>
  <w:footnote w:id="8">
    <w:p w:rsidR="000927FA" w:rsidRDefault="000927FA" w:rsidP="00B75F03">
      <w:pPr>
        <w:pStyle w:val="FootnoteText"/>
        <w:spacing w:line="200" w:lineRule="exact"/>
      </w:pPr>
      <w:r>
        <w:rPr>
          <w:rStyle w:val="FootnoteReference"/>
        </w:rPr>
        <w:footnoteRef/>
      </w:r>
      <w:r>
        <w:t xml:space="preserve"> Notice that the amounts in the Lawful Money column do not balance, slightly more than £0.04 remains, almost ten pence, though the original account entries did balance.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59A4"/>
    <w:multiLevelType w:val="hybridMultilevel"/>
    <w:tmpl w:val="66A0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F6"/>
    <w:rsid w:val="00032B41"/>
    <w:rsid w:val="00081A03"/>
    <w:rsid w:val="000927FA"/>
    <w:rsid w:val="000B2EC8"/>
    <w:rsid w:val="000C1788"/>
    <w:rsid w:val="000C65D8"/>
    <w:rsid w:val="000F06EB"/>
    <w:rsid w:val="000F411F"/>
    <w:rsid w:val="00101F08"/>
    <w:rsid w:val="00103CDD"/>
    <w:rsid w:val="00107581"/>
    <w:rsid w:val="0013176E"/>
    <w:rsid w:val="00170EA3"/>
    <w:rsid w:val="0017156F"/>
    <w:rsid w:val="001743D6"/>
    <w:rsid w:val="001A1482"/>
    <w:rsid w:val="001A6B8F"/>
    <w:rsid w:val="001B751D"/>
    <w:rsid w:val="001D665E"/>
    <w:rsid w:val="00201BD9"/>
    <w:rsid w:val="002058E3"/>
    <w:rsid w:val="002121B2"/>
    <w:rsid w:val="00226852"/>
    <w:rsid w:val="00241072"/>
    <w:rsid w:val="002424D0"/>
    <w:rsid w:val="00243703"/>
    <w:rsid w:val="002504CE"/>
    <w:rsid w:val="00250CCF"/>
    <w:rsid w:val="0025109B"/>
    <w:rsid w:val="00260413"/>
    <w:rsid w:val="00262773"/>
    <w:rsid w:val="00271A8E"/>
    <w:rsid w:val="002902FD"/>
    <w:rsid w:val="002C1ED3"/>
    <w:rsid w:val="002C74FB"/>
    <w:rsid w:val="002E48F3"/>
    <w:rsid w:val="002F3669"/>
    <w:rsid w:val="00302C12"/>
    <w:rsid w:val="00337C76"/>
    <w:rsid w:val="00346133"/>
    <w:rsid w:val="00352DC4"/>
    <w:rsid w:val="00353135"/>
    <w:rsid w:val="003560F0"/>
    <w:rsid w:val="003602D5"/>
    <w:rsid w:val="003A38F2"/>
    <w:rsid w:val="003B047E"/>
    <w:rsid w:val="003D5F48"/>
    <w:rsid w:val="003F26F0"/>
    <w:rsid w:val="003F7D53"/>
    <w:rsid w:val="00401295"/>
    <w:rsid w:val="0040217B"/>
    <w:rsid w:val="004034C8"/>
    <w:rsid w:val="00404687"/>
    <w:rsid w:val="0041607F"/>
    <w:rsid w:val="0041713F"/>
    <w:rsid w:val="00423D0E"/>
    <w:rsid w:val="00425445"/>
    <w:rsid w:val="004433E1"/>
    <w:rsid w:val="00444865"/>
    <w:rsid w:val="00452C70"/>
    <w:rsid w:val="004742F6"/>
    <w:rsid w:val="00480660"/>
    <w:rsid w:val="00482B56"/>
    <w:rsid w:val="004A160A"/>
    <w:rsid w:val="004A17FB"/>
    <w:rsid w:val="004A757A"/>
    <w:rsid w:val="004C2B9E"/>
    <w:rsid w:val="004C7998"/>
    <w:rsid w:val="004D1C13"/>
    <w:rsid w:val="004F0832"/>
    <w:rsid w:val="004F1C07"/>
    <w:rsid w:val="004F6502"/>
    <w:rsid w:val="005119F6"/>
    <w:rsid w:val="00516DAF"/>
    <w:rsid w:val="00531DBF"/>
    <w:rsid w:val="00564A82"/>
    <w:rsid w:val="00574A8E"/>
    <w:rsid w:val="0058089E"/>
    <w:rsid w:val="00584117"/>
    <w:rsid w:val="00591F69"/>
    <w:rsid w:val="0059246E"/>
    <w:rsid w:val="005A500E"/>
    <w:rsid w:val="005B6316"/>
    <w:rsid w:val="005B6999"/>
    <w:rsid w:val="005C569F"/>
    <w:rsid w:val="005D04F2"/>
    <w:rsid w:val="005D43AD"/>
    <w:rsid w:val="005E1345"/>
    <w:rsid w:val="005E22E3"/>
    <w:rsid w:val="005E4142"/>
    <w:rsid w:val="005F28A6"/>
    <w:rsid w:val="005F30C8"/>
    <w:rsid w:val="0061359D"/>
    <w:rsid w:val="00620E41"/>
    <w:rsid w:val="0063456F"/>
    <w:rsid w:val="00650A83"/>
    <w:rsid w:val="00654A93"/>
    <w:rsid w:val="006811F5"/>
    <w:rsid w:val="0069122C"/>
    <w:rsid w:val="0069678A"/>
    <w:rsid w:val="006A1038"/>
    <w:rsid w:val="006A2906"/>
    <w:rsid w:val="006A46DD"/>
    <w:rsid w:val="006B3FA8"/>
    <w:rsid w:val="006B6BB2"/>
    <w:rsid w:val="006B7907"/>
    <w:rsid w:val="006C3AD5"/>
    <w:rsid w:val="006D1775"/>
    <w:rsid w:val="006E1741"/>
    <w:rsid w:val="00702BC3"/>
    <w:rsid w:val="00720E7F"/>
    <w:rsid w:val="007267DA"/>
    <w:rsid w:val="00745753"/>
    <w:rsid w:val="00747D20"/>
    <w:rsid w:val="0075277A"/>
    <w:rsid w:val="00761272"/>
    <w:rsid w:val="00775769"/>
    <w:rsid w:val="00786623"/>
    <w:rsid w:val="00795607"/>
    <w:rsid w:val="007958DA"/>
    <w:rsid w:val="007A0EDE"/>
    <w:rsid w:val="007C027C"/>
    <w:rsid w:val="007C426C"/>
    <w:rsid w:val="007C75E2"/>
    <w:rsid w:val="007D26CD"/>
    <w:rsid w:val="007D404A"/>
    <w:rsid w:val="007D6AAA"/>
    <w:rsid w:val="007F073C"/>
    <w:rsid w:val="007F2FAE"/>
    <w:rsid w:val="007F48EC"/>
    <w:rsid w:val="007F5BC6"/>
    <w:rsid w:val="00807C86"/>
    <w:rsid w:val="00820427"/>
    <w:rsid w:val="00831088"/>
    <w:rsid w:val="008342EC"/>
    <w:rsid w:val="00865CED"/>
    <w:rsid w:val="0086795C"/>
    <w:rsid w:val="008705DB"/>
    <w:rsid w:val="00881E84"/>
    <w:rsid w:val="008A0507"/>
    <w:rsid w:val="008A3ED1"/>
    <w:rsid w:val="008C3262"/>
    <w:rsid w:val="008E1257"/>
    <w:rsid w:val="008E1968"/>
    <w:rsid w:val="008F411A"/>
    <w:rsid w:val="00901BE2"/>
    <w:rsid w:val="00901D69"/>
    <w:rsid w:val="009027D5"/>
    <w:rsid w:val="00934314"/>
    <w:rsid w:val="00956A52"/>
    <w:rsid w:val="0096225D"/>
    <w:rsid w:val="00971E19"/>
    <w:rsid w:val="00976E7E"/>
    <w:rsid w:val="00977B22"/>
    <w:rsid w:val="00991FAC"/>
    <w:rsid w:val="009929D5"/>
    <w:rsid w:val="009B6A7C"/>
    <w:rsid w:val="009C489C"/>
    <w:rsid w:val="009D7F10"/>
    <w:rsid w:val="00A101EE"/>
    <w:rsid w:val="00A15E8D"/>
    <w:rsid w:val="00A24AEB"/>
    <w:rsid w:val="00A26752"/>
    <w:rsid w:val="00A44B5D"/>
    <w:rsid w:val="00A4770C"/>
    <w:rsid w:val="00A47F35"/>
    <w:rsid w:val="00A6104C"/>
    <w:rsid w:val="00A61D0D"/>
    <w:rsid w:val="00A840D2"/>
    <w:rsid w:val="00A8548E"/>
    <w:rsid w:val="00A870ED"/>
    <w:rsid w:val="00A941C2"/>
    <w:rsid w:val="00AA1E87"/>
    <w:rsid w:val="00AB684D"/>
    <w:rsid w:val="00AB6E81"/>
    <w:rsid w:val="00AC554D"/>
    <w:rsid w:val="00AC694B"/>
    <w:rsid w:val="00AF3B25"/>
    <w:rsid w:val="00B002AB"/>
    <w:rsid w:val="00B00664"/>
    <w:rsid w:val="00B1056D"/>
    <w:rsid w:val="00B14CDA"/>
    <w:rsid w:val="00B172C5"/>
    <w:rsid w:val="00B43F68"/>
    <w:rsid w:val="00B44E47"/>
    <w:rsid w:val="00B63F83"/>
    <w:rsid w:val="00B75613"/>
    <w:rsid w:val="00B75F03"/>
    <w:rsid w:val="00B8000C"/>
    <w:rsid w:val="00BA64BD"/>
    <w:rsid w:val="00BD7E6D"/>
    <w:rsid w:val="00BE76E1"/>
    <w:rsid w:val="00C3222E"/>
    <w:rsid w:val="00C361FB"/>
    <w:rsid w:val="00C457BE"/>
    <w:rsid w:val="00C51354"/>
    <w:rsid w:val="00C629AB"/>
    <w:rsid w:val="00CA658B"/>
    <w:rsid w:val="00CB1730"/>
    <w:rsid w:val="00CC0BFD"/>
    <w:rsid w:val="00CD17C7"/>
    <w:rsid w:val="00CF209E"/>
    <w:rsid w:val="00D06AC5"/>
    <w:rsid w:val="00D06C59"/>
    <w:rsid w:val="00D4387D"/>
    <w:rsid w:val="00D458FD"/>
    <w:rsid w:val="00D47C55"/>
    <w:rsid w:val="00D92036"/>
    <w:rsid w:val="00DA4438"/>
    <w:rsid w:val="00DF29B1"/>
    <w:rsid w:val="00DF2DF7"/>
    <w:rsid w:val="00E212AB"/>
    <w:rsid w:val="00E22360"/>
    <w:rsid w:val="00E47369"/>
    <w:rsid w:val="00E632E6"/>
    <w:rsid w:val="00E71D76"/>
    <w:rsid w:val="00E728A9"/>
    <w:rsid w:val="00E86742"/>
    <w:rsid w:val="00E8684A"/>
    <w:rsid w:val="00E9751A"/>
    <w:rsid w:val="00EF6BD1"/>
    <w:rsid w:val="00F05D4B"/>
    <w:rsid w:val="00F074DE"/>
    <w:rsid w:val="00F20938"/>
    <w:rsid w:val="00F2220F"/>
    <w:rsid w:val="00F22824"/>
    <w:rsid w:val="00F307DB"/>
    <w:rsid w:val="00F42334"/>
    <w:rsid w:val="00F42512"/>
    <w:rsid w:val="00F45D0B"/>
    <w:rsid w:val="00F541CE"/>
    <w:rsid w:val="00F6367F"/>
    <w:rsid w:val="00F76260"/>
    <w:rsid w:val="00F81DA7"/>
    <w:rsid w:val="00FC2A7C"/>
    <w:rsid w:val="00FC2EE8"/>
    <w:rsid w:val="00FD6875"/>
    <w:rsid w:val="00FE304A"/>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A98F"/>
  <w15:docId w15:val="{AB137CCB-F009-492C-AD46-C082C181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6D"/>
  </w:style>
  <w:style w:type="paragraph" w:styleId="Heading1">
    <w:name w:val="heading 1"/>
    <w:basedOn w:val="Normal"/>
    <w:next w:val="Normal"/>
    <w:link w:val="Heading1Char"/>
    <w:qFormat/>
    <w:rsid w:val="00B75F03"/>
    <w:pPr>
      <w:keepNext/>
      <w:spacing w:after="0" w:line="240" w:lineRule="auto"/>
      <w:outlineLvl w:val="0"/>
    </w:pPr>
    <w:rPr>
      <w:rFonts w:eastAsia="Times New Roman" w:cs="Times New Roman"/>
      <w:b/>
      <w:bCs/>
      <w:sz w:val="22"/>
      <w:szCs w:val="20"/>
    </w:rPr>
  </w:style>
  <w:style w:type="paragraph" w:styleId="Heading3">
    <w:name w:val="heading 3"/>
    <w:basedOn w:val="Normal"/>
    <w:next w:val="Normal"/>
    <w:link w:val="Heading3Char"/>
    <w:qFormat/>
    <w:rsid w:val="00B75F03"/>
    <w:pPr>
      <w:keepNext/>
      <w:spacing w:after="0" w:line="480" w:lineRule="auto"/>
      <w:ind w:right="-45"/>
      <w:outlineLvl w:val="2"/>
    </w:pPr>
    <w:rPr>
      <w:rFonts w:eastAsia="Times New Roman" w:cs="Times New Roman"/>
      <w:b/>
      <w:bCs/>
      <w:sz w:val="22"/>
      <w:szCs w:val="20"/>
    </w:rPr>
  </w:style>
  <w:style w:type="paragraph" w:styleId="Heading5">
    <w:name w:val="heading 5"/>
    <w:basedOn w:val="Normal"/>
    <w:next w:val="Normal"/>
    <w:link w:val="Heading5Char"/>
    <w:qFormat/>
    <w:rsid w:val="00B75F03"/>
    <w:pPr>
      <w:keepNext/>
      <w:spacing w:after="0" w:line="240" w:lineRule="auto"/>
      <w:jc w:val="center"/>
      <w:outlineLvl w:val="4"/>
    </w:pPr>
    <w:rPr>
      <w:rFonts w:eastAsia="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F5"/>
    <w:pPr>
      <w:ind w:left="720"/>
      <w:contextualSpacing/>
    </w:pPr>
  </w:style>
  <w:style w:type="character" w:customStyle="1" w:styleId="Heading1Char">
    <w:name w:val="Heading 1 Char"/>
    <w:basedOn w:val="DefaultParagraphFont"/>
    <w:link w:val="Heading1"/>
    <w:rsid w:val="00B75F03"/>
    <w:rPr>
      <w:rFonts w:eastAsia="Times New Roman" w:cs="Times New Roman"/>
      <w:b/>
      <w:bCs/>
      <w:sz w:val="22"/>
      <w:szCs w:val="20"/>
    </w:rPr>
  </w:style>
  <w:style w:type="character" w:customStyle="1" w:styleId="Heading3Char">
    <w:name w:val="Heading 3 Char"/>
    <w:basedOn w:val="DefaultParagraphFont"/>
    <w:link w:val="Heading3"/>
    <w:rsid w:val="00B75F03"/>
    <w:rPr>
      <w:rFonts w:eastAsia="Times New Roman" w:cs="Times New Roman"/>
      <w:b/>
      <w:bCs/>
      <w:sz w:val="22"/>
      <w:szCs w:val="20"/>
    </w:rPr>
  </w:style>
  <w:style w:type="character" w:customStyle="1" w:styleId="Heading5Char">
    <w:name w:val="Heading 5 Char"/>
    <w:basedOn w:val="DefaultParagraphFont"/>
    <w:link w:val="Heading5"/>
    <w:rsid w:val="00B75F03"/>
    <w:rPr>
      <w:rFonts w:eastAsia="Times New Roman" w:cs="Times New Roman"/>
      <w:b/>
      <w:bCs/>
      <w:sz w:val="22"/>
      <w:szCs w:val="20"/>
    </w:rPr>
  </w:style>
  <w:style w:type="character" w:styleId="FootnoteReference">
    <w:name w:val="footnote reference"/>
    <w:basedOn w:val="DefaultParagraphFont"/>
    <w:semiHidden/>
    <w:rsid w:val="00B75F03"/>
    <w:rPr>
      <w:vertAlign w:val="superscript"/>
    </w:rPr>
  </w:style>
  <w:style w:type="paragraph" w:styleId="BodyTextIndent">
    <w:name w:val="Body Text Indent"/>
    <w:basedOn w:val="Normal"/>
    <w:link w:val="BodyTextIndentChar"/>
    <w:semiHidden/>
    <w:rsid w:val="00B75F03"/>
    <w:pPr>
      <w:spacing w:after="0" w:line="480" w:lineRule="auto"/>
      <w:ind w:firstLine="720"/>
    </w:pPr>
    <w:rPr>
      <w:rFonts w:eastAsia="Times New Roman" w:cs="Times New Roman"/>
      <w:sz w:val="22"/>
      <w:szCs w:val="20"/>
    </w:rPr>
  </w:style>
  <w:style w:type="character" w:customStyle="1" w:styleId="BodyTextIndentChar">
    <w:name w:val="Body Text Indent Char"/>
    <w:basedOn w:val="DefaultParagraphFont"/>
    <w:link w:val="BodyTextIndent"/>
    <w:semiHidden/>
    <w:rsid w:val="00B75F03"/>
    <w:rPr>
      <w:rFonts w:eastAsia="Times New Roman" w:cs="Times New Roman"/>
      <w:sz w:val="22"/>
      <w:szCs w:val="20"/>
    </w:rPr>
  </w:style>
  <w:style w:type="paragraph" w:styleId="Footer">
    <w:name w:val="footer"/>
    <w:basedOn w:val="Normal"/>
    <w:link w:val="FooterChar"/>
    <w:semiHidden/>
    <w:rsid w:val="00B75F03"/>
    <w:pPr>
      <w:tabs>
        <w:tab w:val="center" w:pos="4320"/>
        <w:tab w:val="right" w:pos="8640"/>
      </w:tabs>
      <w:spacing w:after="0" w:line="240" w:lineRule="auto"/>
    </w:pPr>
    <w:rPr>
      <w:rFonts w:eastAsia="Times New Roman" w:cs="Arial"/>
      <w:sz w:val="22"/>
      <w:szCs w:val="20"/>
    </w:rPr>
  </w:style>
  <w:style w:type="character" w:customStyle="1" w:styleId="FooterChar">
    <w:name w:val="Footer Char"/>
    <w:basedOn w:val="DefaultParagraphFont"/>
    <w:link w:val="Footer"/>
    <w:semiHidden/>
    <w:rsid w:val="00B75F03"/>
    <w:rPr>
      <w:rFonts w:eastAsia="Times New Roman" w:cs="Arial"/>
      <w:sz w:val="22"/>
      <w:szCs w:val="20"/>
    </w:rPr>
  </w:style>
  <w:style w:type="paragraph" w:styleId="BlockText">
    <w:name w:val="Block Text"/>
    <w:basedOn w:val="Normal"/>
    <w:semiHidden/>
    <w:rsid w:val="00B75F03"/>
    <w:pPr>
      <w:spacing w:after="0" w:line="480" w:lineRule="auto"/>
      <w:ind w:left="1440" w:right="1110"/>
    </w:pPr>
    <w:rPr>
      <w:rFonts w:eastAsia="Times New Roman" w:cs="Arial"/>
      <w:sz w:val="22"/>
      <w:szCs w:val="20"/>
    </w:rPr>
  </w:style>
  <w:style w:type="paragraph" w:styleId="FootnoteText">
    <w:name w:val="footnote text"/>
    <w:basedOn w:val="Normal"/>
    <w:link w:val="FootnoteTextChar"/>
    <w:semiHidden/>
    <w:rsid w:val="00B75F0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B75F03"/>
    <w:rPr>
      <w:rFonts w:eastAsia="Times New Roman" w:cs="Times New Roman"/>
      <w:sz w:val="20"/>
      <w:szCs w:val="20"/>
    </w:rPr>
  </w:style>
  <w:style w:type="character" w:styleId="PageNumber">
    <w:name w:val="page number"/>
    <w:basedOn w:val="DefaultParagraphFont"/>
    <w:semiHidden/>
    <w:rsid w:val="00B75F03"/>
  </w:style>
  <w:style w:type="paragraph" w:styleId="EndnoteText">
    <w:name w:val="endnote text"/>
    <w:basedOn w:val="Normal"/>
    <w:link w:val="EndnoteTextChar"/>
    <w:uiPriority w:val="99"/>
    <w:semiHidden/>
    <w:unhideWhenUsed/>
    <w:rsid w:val="006B3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FA8"/>
    <w:rPr>
      <w:sz w:val="20"/>
      <w:szCs w:val="20"/>
    </w:rPr>
  </w:style>
  <w:style w:type="character" w:styleId="EndnoteReference">
    <w:name w:val="endnote reference"/>
    <w:basedOn w:val="DefaultParagraphFont"/>
    <w:uiPriority w:val="99"/>
    <w:semiHidden/>
    <w:unhideWhenUsed/>
    <w:rsid w:val="006B3FA8"/>
    <w:rPr>
      <w:vertAlign w:val="superscript"/>
    </w:rPr>
  </w:style>
  <w:style w:type="character" w:customStyle="1" w:styleId="personname">
    <w:name w:val="person_name"/>
    <w:basedOn w:val="DefaultParagraphFont"/>
    <w:rsid w:val="00F541CE"/>
  </w:style>
  <w:style w:type="character" w:styleId="Emphasis">
    <w:name w:val="Emphasis"/>
    <w:basedOn w:val="DefaultParagraphFont"/>
    <w:uiPriority w:val="20"/>
    <w:qFormat/>
    <w:rsid w:val="00F541CE"/>
    <w:rPr>
      <w:i/>
      <w:iCs/>
    </w:rPr>
  </w:style>
  <w:style w:type="character" w:styleId="CommentReference">
    <w:name w:val="annotation reference"/>
    <w:basedOn w:val="DefaultParagraphFont"/>
    <w:uiPriority w:val="99"/>
    <w:semiHidden/>
    <w:unhideWhenUsed/>
    <w:rsid w:val="00401295"/>
    <w:rPr>
      <w:sz w:val="16"/>
      <w:szCs w:val="16"/>
    </w:rPr>
  </w:style>
  <w:style w:type="paragraph" w:styleId="CommentText">
    <w:name w:val="annotation text"/>
    <w:basedOn w:val="Normal"/>
    <w:link w:val="CommentTextChar"/>
    <w:uiPriority w:val="99"/>
    <w:unhideWhenUsed/>
    <w:rsid w:val="00401295"/>
    <w:pPr>
      <w:spacing w:line="240" w:lineRule="auto"/>
    </w:pPr>
    <w:rPr>
      <w:sz w:val="20"/>
      <w:szCs w:val="20"/>
    </w:rPr>
  </w:style>
  <w:style w:type="character" w:customStyle="1" w:styleId="CommentTextChar">
    <w:name w:val="Comment Text Char"/>
    <w:basedOn w:val="DefaultParagraphFont"/>
    <w:link w:val="CommentText"/>
    <w:uiPriority w:val="99"/>
    <w:rsid w:val="00401295"/>
    <w:rPr>
      <w:sz w:val="20"/>
      <w:szCs w:val="20"/>
    </w:rPr>
  </w:style>
  <w:style w:type="paragraph" w:styleId="CommentSubject">
    <w:name w:val="annotation subject"/>
    <w:basedOn w:val="CommentText"/>
    <w:next w:val="CommentText"/>
    <w:link w:val="CommentSubjectChar"/>
    <w:uiPriority w:val="99"/>
    <w:semiHidden/>
    <w:unhideWhenUsed/>
    <w:rsid w:val="00401295"/>
    <w:rPr>
      <w:b/>
      <w:bCs/>
    </w:rPr>
  </w:style>
  <w:style w:type="character" w:customStyle="1" w:styleId="CommentSubjectChar">
    <w:name w:val="Comment Subject Char"/>
    <w:basedOn w:val="CommentTextChar"/>
    <w:link w:val="CommentSubject"/>
    <w:uiPriority w:val="99"/>
    <w:semiHidden/>
    <w:rsid w:val="00401295"/>
    <w:rPr>
      <w:b/>
      <w:bCs/>
      <w:sz w:val="20"/>
      <w:szCs w:val="20"/>
    </w:rPr>
  </w:style>
  <w:style w:type="paragraph" w:styleId="BalloonText">
    <w:name w:val="Balloon Text"/>
    <w:basedOn w:val="Normal"/>
    <w:link w:val="BalloonTextChar"/>
    <w:uiPriority w:val="99"/>
    <w:semiHidden/>
    <w:unhideWhenUsed/>
    <w:rsid w:val="0040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95"/>
    <w:rPr>
      <w:rFonts w:ascii="Tahoma" w:hAnsi="Tahoma" w:cs="Tahoma"/>
      <w:sz w:val="16"/>
      <w:szCs w:val="16"/>
    </w:rPr>
  </w:style>
  <w:style w:type="character" w:styleId="Hyperlink">
    <w:name w:val="Hyperlink"/>
    <w:basedOn w:val="DefaultParagraphFont"/>
    <w:uiPriority w:val="99"/>
    <w:unhideWhenUsed/>
    <w:rsid w:val="00212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8538">
      <w:bodyDiv w:val="1"/>
      <w:marLeft w:val="0"/>
      <w:marRight w:val="0"/>
      <w:marTop w:val="0"/>
      <w:marBottom w:val="0"/>
      <w:divBdr>
        <w:top w:val="none" w:sz="0" w:space="0" w:color="auto"/>
        <w:left w:val="none" w:sz="0" w:space="0" w:color="auto"/>
        <w:bottom w:val="none" w:sz="0" w:space="0" w:color="auto"/>
        <w:right w:val="none" w:sz="0" w:space="0" w:color="auto"/>
      </w:divBdr>
    </w:div>
    <w:div w:id="12046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0B3884-0D5B-4A84-9572-E05857F2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8715</Words>
  <Characters>49678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Karahan</dc:creator>
  <cp:lastModifiedBy>Gokhan Karahan</cp:lastModifiedBy>
  <cp:revision>2</cp:revision>
  <cp:lastPrinted>2015-03-16T14:18:00Z</cp:lastPrinted>
  <dcterms:created xsi:type="dcterms:W3CDTF">2018-05-15T01:09:00Z</dcterms:created>
  <dcterms:modified xsi:type="dcterms:W3CDTF">2018-05-15T01:09:00Z</dcterms:modified>
</cp:coreProperties>
</file>